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361FFD6E" w:rsidR="00A51D56" w:rsidRPr="009709CF" w:rsidRDefault="00A51D56" w:rsidP="00616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66316826" w14:textId="69F3E6C0" w:rsidR="00AF2C6E" w:rsidRPr="00AF2C6E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51D56">
              <w:rPr>
                <w:rFonts w:ascii="Arial" w:hAnsi="Arial" w:cs="Arial"/>
                <w:b/>
                <w:szCs w:val="22"/>
              </w:rPr>
              <w:t xml:space="preserve">nabavu </w:t>
            </w:r>
            <w:r w:rsidR="00C257CC" w:rsidRPr="00C257CC">
              <w:rPr>
                <w:rFonts w:ascii="Arial" w:hAnsi="Arial" w:cs="Arial"/>
                <w:b/>
                <w:szCs w:val="22"/>
              </w:rPr>
              <w:t>Proračun potencijala, izrada idejnog i glavnog projekta sunčane elektrane 70-100kW</w:t>
            </w:r>
          </w:p>
          <w:p w14:paraId="10757703" w14:textId="4A049C05" w:rsidR="001A739D" w:rsidRPr="009709CF" w:rsidRDefault="00C257CC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SUS </w:t>
            </w:r>
            <w:r w:rsidR="0096548A">
              <w:rPr>
                <w:rFonts w:ascii="Arial" w:hAnsi="Arial" w:cs="Arial"/>
                <w:b/>
                <w:szCs w:val="22"/>
              </w:rPr>
              <w:t>4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21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44EB5CB9" w:rsidR="001A739D" w:rsidRPr="00711A93" w:rsidRDefault="00C257CC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257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 potencijala, izrada idejnog i glavnog projekta sunčane elektrane 70-100kW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7E9B5D75" w:rsidR="00A52EBE" w:rsidRPr="00711A93" w:rsidRDefault="00C257CC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SUS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4/21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2F005779" w:rsidR="001A739D" w:rsidRPr="009D1CE6" w:rsidRDefault="00C257CC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 w:rsidR="001A739D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013D6B91" w:rsidR="00AC3BE2" w:rsidRPr="00711A93" w:rsidRDefault="00C257CC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 dana po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zaprimanju Narudžbenice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37ADD386" w:rsidR="00FF3489" w:rsidRPr="00C45F69" w:rsidRDefault="00C257CC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2F29315C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C257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C257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545A173C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C257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Milan Mihaljević</w:t>
            </w:r>
          </w:p>
          <w:p w14:paraId="0BE9A4C9" w14:textId="02570258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C257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72A511C8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C257CC" w:rsidRPr="00523FC5">
                <w:rPr>
                  <w:rStyle w:val="Hiperveza"/>
                </w:rPr>
                <w:t>milan.mihaljevic@</w:t>
              </w:r>
              <w:r w:rsidR="00C257CC" w:rsidRPr="00523FC5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87815684">
    <w:abstractNumId w:val="0"/>
  </w:num>
  <w:num w:numId="2" w16cid:durableId="1189224375">
    <w:abstractNumId w:val="7"/>
  </w:num>
  <w:num w:numId="3" w16cid:durableId="230696592">
    <w:abstractNumId w:val="6"/>
  </w:num>
  <w:num w:numId="4" w16cid:durableId="35472221">
    <w:abstractNumId w:val="10"/>
  </w:num>
  <w:num w:numId="5" w16cid:durableId="47539224">
    <w:abstractNumId w:val="8"/>
  </w:num>
  <w:num w:numId="6" w16cid:durableId="1495073578">
    <w:abstractNumId w:val="4"/>
  </w:num>
  <w:num w:numId="7" w16cid:durableId="1058018761">
    <w:abstractNumId w:val="5"/>
  </w:num>
  <w:num w:numId="8" w16cid:durableId="637802605">
    <w:abstractNumId w:val="2"/>
  </w:num>
  <w:num w:numId="9" w16cid:durableId="563837067">
    <w:abstractNumId w:val="1"/>
  </w:num>
  <w:num w:numId="10" w16cid:durableId="896084689">
    <w:abstractNumId w:val="3"/>
  </w:num>
  <w:num w:numId="11" w16cid:durableId="1846625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257CC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mihaljevic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2</cp:revision>
  <cp:lastPrinted>2021-05-27T11:52:00Z</cp:lastPrinted>
  <dcterms:created xsi:type="dcterms:W3CDTF">2022-09-16T10:59:00Z</dcterms:created>
  <dcterms:modified xsi:type="dcterms:W3CDTF">2022-09-16T10:59:00Z</dcterms:modified>
</cp:coreProperties>
</file>