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BC0F2D9" w14:textId="77777777" w:rsidR="0027754A" w:rsidRPr="0027754A" w:rsidRDefault="0027754A" w:rsidP="0027754A">
      <w:pPr>
        <w:jc w:val="center"/>
        <w:rPr>
          <w:b/>
          <w:bCs/>
        </w:rPr>
      </w:pPr>
      <w:r w:rsidRPr="0027754A">
        <w:rPr>
          <w:b/>
          <w:bCs/>
        </w:rPr>
        <w:t>BILJEŠKE</w:t>
      </w:r>
    </w:p>
    <w:p w14:paraId="44315901" w14:textId="77777777" w:rsidR="0027754A" w:rsidRPr="0027754A" w:rsidRDefault="0027754A" w:rsidP="0027754A">
      <w:pPr>
        <w:jc w:val="center"/>
        <w:rPr>
          <w:b/>
          <w:bCs/>
        </w:rPr>
      </w:pPr>
      <w:r w:rsidRPr="0027754A">
        <w:rPr>
          <w:b/>
          <w:bCs/>
        </w:rPr>
        <w:t>uz godišnje financijske izvještaje</w:t>
      </w:r>
    </w:p>
    <w:p w14:paraId="2E85ED13" w14:textId="70AA5329" w:rsidR="0027754A" w:rsidRDefault="0027754A" w:rsidP="0027754A">
      <w:pPr>
        <w:jc w:val="center"/>
        <w:rPr>
          <w:b/>
          <w:bCs/>
        </w:rPr>
      </w:pPr>
      <w:r w:rsidRPr="0027754A">
        <w:rPr>
          <w:b/>
          <w:bCs/>
        </w:rPr>
        <w:t>za 202</w:t>
      </w:r>
      <w:r>
        <w:rPr>
          <w:b/>
          <w:bCs/>
        </w:rPr>
        <w:t>1</w:t>
      </w:r>
      <w:r w:rsidRPr="0027754A">
        <w:rPr>
          <w:b/>
          <w:bCs/>
        </w:rPr>
        <w:t>. godinu</w:t>
      </w:r>
      <w:r w:rsidRPr="0027754A">
        <w:rPr>
          <w:b/>
          <w:bCs/>
        </w:rPr>
        <w:cr/>
      </w:r>
    </w:p>
    <w:p w14:paraId="7D15D8F4" w14:textId="77777777" w:rsidR="0027754A" w:rsidRDefault="0027754A" w:rsidP="008F31F9">
      <w:pPr>
        <w:jc w:val="both"/>
        <w:rPr>
          <w:b/>
          <w:bCs/>
        </w:rPr>
      </w:pPr>
    </w:p>
    <w:p w14:paraId="5D05DBAA" w14:textId="1115351D" w:rsidR="00640CD9" w:rsidRPr="00640CD9" w:rsidRDefault="00071E25" w:rsidP="00EE205F">
      <w:pPr>
        <w:jc w:val="both"/>
        <w:rPr>
          <w:b/>
          <w:bCs/>
        </w:rPr>
      </w:pPr>
      <w:r>
        <w:rPr>
          <w:b/>
          <w:bCs/>
        </w:rPr>
        <w:t>OSNOVNI PODACI</w:t>
      </w:r>
    </w:p>
    <w:p w14:paraId="147A7E46" w14:textId="2BDD91A3" w:rsidR="00F1075C" w:rsidRDefault="00F1075C" w:rsidP="00EE205F">
      <w:pPr>
        <w:jc w:val="both"/>
      </w:pPr>
      <w:r>
        <w:t>Lučka uprava Ploče je neprofitna ustanova osnovana Odlukom Vlade Republike Hrvatske o osnivanju Lučke uprave Ploče (»Narodne novine«, br. 19/97, 139/97, 18/99 i 140/12, 31/2017) od 13. veljače 1997. godine radi upravljanja, izgradnje i korištenja Luke Ploče (lučko područje Lučke uprave Ploče čine bazeni Ploče (slobodna zona) i Metković) kao luke otvorene za javni promet od osobitog (međunarodnog) gospodarskog interesa za Republiku Hrvatsku. Lučka uprava Ploče odgovara za svoje obveze cijelom svojom imovinom, a Republika Hrvatska odgovara solidarno i neograničeno za obveze Lučke uprave. Zakonska osnova poslovanja je spomenuta Odluka Vlade RH i Zakon o pomorskom dobru i morskim lukama (»Narodne novine«, br. 158/03, 100/04, 141/06, 38/09, 123/11, 56/16 i 98/19).</w:t>
      </w:r>
    </w:p>
    <w:p w14:paraId="016AF133" w14:textId="77777777" w:rsidR="00BB6E61" w:rsidRDefault="00F1075C" w:rsidP="00BB6E61">
      <w:pPr>
        <w:jc w:val="both"/>
      </w:pPr>
      <w:r>
        <w:t>Sjedište Lučke uprave je u Pločama, Trg kralja Tomislava 21</w:t>
      </w:r>
      <w:r w:rsidR="00A22FFC">
        <w:t xml:space="preserve">, a od rujna 2019. godine poslovanje se obavlja u upravnoj zagradi Ulaznog terminala u Pločama, Glavna cesta </w:t>
      </w:r>
      <w:r w:rsidR="00071E25">
        <w:t xml:space="preserve">br. </w:t>
      </w:r>
      <w:r w:rsidR="00A22FFC">
        <w:t>2</w:t>
      </w:r>
      <w:r>
        <w:t xml:space="preserve">. Lučka uprava upisana je u sudski registar kod Trgovačkog suda u Splitu – stalna služba u Dubrovniku pod matičnim brojem subjekta 060048258. Matični broj Lučke uprave je 01283847, OIB je 98749709951, a šifra djelatnosti 5222 – Uslužne djelatnosti u vezi s vodenim prijevozom. </w:t>
      </w:r>
      <w:r w:rsidR="00BB6E61" w:rsidRPr="0061727B">
        <w:t>Resorno ministarstvo za područje djelatnosti ove Lučke</w:t>
      </w:r>
      <w:r w:rsidR="00BB6E61">
        <w:t xml:space="preserve"> uprave je Ministarstvo mora, prometa i infrastrukture.</w:t>
      </w:r>
    </w:p>
    <w:p w14:paraId="31F4339C" w14:textId="0F605D71" w:rsidR="00A22FFC" w:rsidRPr="0061727B" w:rsidRDefault="00F1075C" w:rsidP="00EE205F">
      <w:pPr>
        <w:jc w:val="both"/>
      </w:pPr>
      <w:r>
        <w:t xml:space="preserve">Lučkom upravom Ploče upravlja ravnatelj i Upravno vijeće. </w:t>
      </w:r>
      <w:r w:rsidR="00071E25">
        <w:t xml:space="preserve">Ravnatelj Lučke uprave Ploče je Tomislav Batur, imenovan je Odlukom 24. svibnja 2017. godine. Članovi Upravnog vijeća u 2021. godini bili su: predsjednik </w:t>
      </w:r>
      <w:r w:rsidR="00071E25" w:rsidRPr="0061727B">
        <w:t>Josip Bilaver i članovi Renata Blažeković (mandat istekao</w:t>
      </w:r>
      <w:r w:rsidR="0061727B" w:rsidRPr="0061727B">
        <w:t xml:space="preserve"> tijekom 2021.</w:t>
      </w:r>
      <w:r w:rsidR="00071E25" w:rsidRPr="0061727B">
        <w:t>), Hrvoje Livaja, Joško Nikolić, Zoran Majstrović i Dalib</w:t>
      </w:r>
      <w:r w:rsidR="00EE205F">
        <w:t>or</w:t>
      </w:r>
      <w:r w:rsidR="00071E25" w:rsidRPr="0061727B">
        <w:t xml:space="preserve"> Žderić.</w:t>
      </w:r>
    </w:p>
    <w:p w14:paraId="3592197E" w14:textId="75A35F84" w:rsidR="00F1075C" w:rsidRPr="00071E25" w:rsidRDefault="00071E25" w:rsidP="00EE205F">
      <w:pPr>
        <w:jc w:val="both"/>
        <w:rPr>
          <w:b/>
          <w:bCs/>
        </w:rPr>
      </w:pPr>
      <w:r w:rsidRPr="00071E25">
        <w:rPr>
          <w:b/>
          <w:bCs/>
        </w:rPr>
        <w:t>RAČUN</w:t>
      </w:r>
      <w:r>
        <w:rPr>
          <w:b/>
          <w:bCs/>
        </w:rPr>
        <w:t>O</w:t>
      </w:r>
      <w:r w:rsidRPr="00071E25">
        <w:rPr>
          <w:b/>
          <w:bCs/>
        </w:rPr>
        <w:t>VODSTVENE POLITIKE</w:t>
      </w:r>
    </w:p>
    <w:p w14:paraId="3D5BD2BD" w14:textId="60053107" w:rsidR="00FF1B4D" w:rsidRDefault="00FF1B4D" w:rsidP="00EE205F">
      <w:pPr>
        <w:jc w:val="both"/>
      </w:pPr>
      <w:r w:rsidRPr="00FF1B4D">
        <w:t xml:space="preserve">Zaključno sa 31.12. 2020. Lučka uprava Ploče vodila je svoje poslovanje sukladno </w:t>
      </w:r>
      <w:r w:rsidR="008E5C25" w:rsidRPr="00FF1B4D">
        <w:t>Zakonu o financijskom poslovanju i računovodstvu neprofitnih organizacija (Narodne novine, br. 121/14)</w:t>
      </w:r>
      <w:r w:rsidR="008E5C25">
        <w:t xml:space="preserve">, te </w:t>
      </w:r>
      <w:r w:rsidRPr="00FF1B4D">
        <w:t>Pravilnik</w:t>
      </w:r>
      <w:r>
        <w:t>u</w:t>
      </w:r>
      <w:r w:rsidRPr="00FF1B4D">
        <w:t xml:space="preserve"> o neprofitnom računovodstvu i računskom planu</w:t>
      </w:r>
      <w:r>
        <w:t xml:space="preserve"> (Narodne novine, br. 12/2015</w:t>
      </w:r>
      <w:r w:rsidR="0027754A">
        <w:t xml:space="preserve">) i </w:t>
      </w:r>
      <w:r w:rsidR="0027754A" w:rsidRPr="0027754A">
        <w:t>Pravilnik</w:t>
      </w:r>
      <w:r w:rsidR="0027754A">
        <w:t>u</w:t>
      </w:r>
      <w:r w:rsidR="0027754A" w:rsidRPr="0027754A">
        <w:t xml:space="preserve"> o dopuni Pravilnika o neprofitnom računovodstvu i računskom planu</w:t>
      </w:r>
      <w:r w:rsidR="0027754A">
        <w:t xml:space="preserve"> (Narodne novine, br. 96/2018)</w:t>
      </w:r>
      <w:r w:rsidR="008E5C25">
        <w:t>.</w:t>
      </w:r>
      <w:r w:rsidR="0027754A">
        <w:t xml:space="preserve"> </w:t>
      </w:r>
    </w:p>
    <w:p w14:paraId="15300C10" w14:textId="420C7A93" w:rsidR="008C44F5" w:rsidRDefault="00640CD9" w:rsidP="00EE205F">
      <w:pPr>
        <w:jc w:val="both"/>
      </w:pPr>
      <w:r>
        <w:t xml:space="preserve">Lučka uprava Ploče </w:t>
      </w:r>
      <w:r w:rsidR="00A51BF8">
        <w:t xml:space="preserve">od 1.1.2021. godine </w:t>
      </w:r>
      <w:r>
        <w:t>ima status proračunskog korisnika i upisana je u Registar proračunskih i izvanproračunskih korisnika pod RKP brojem 51298 te je obveznik vođenja proračunskog računovodstva</w:t>
      </w:r>
      <w:r w:rsidR="00A51BF8">
        <w:t xml:space="preserve"> sukladno </w:t>
      </w:r>
      <w:r w:rsidR="008E5C25">
        <w:t>Z</w:t>
      </w:r>
      <w:r w:rsidR="008E5C25" w:rsidRPr="008C44F5">
        <w:t>akon</w:t>
      </w:r>
      <w:r w:rsidR="008E5C25">
        <w:t>u</w:t>
      </w:r>
      <w:r w:rsidR="008E5C25" w:rsidRPr="008C44F5">
        <w:t xml:space="preserve"> o proračunu (N</w:t>
      </w:r>
      <w:r w:rsidR="008E5C25">
        <w:t>arodne novine</w:t>
      </w:r>
      <w:r w:rsidR="008E5C25" w:rsidRPr="008C44F5">
        <w:t xml:space="preserve">, </w:t>
      </w:r>
      <w:r w:rsidR="008E5C25">
        <w:t xml:space="preserve">broj 144/21) i </w:t>
      </w:r>
      <w:r w:rsidR="00A51BF8" w:rsidRPr="00A51BF8">
        <w:t>Pravilnik</w:t>
      </w:r>
      <w:r w:rsidR="00A51BF8">
        <w:t>u</w:t>
      </w:r>
      <w:r w:rsidR="00A51BF8" w:rsidRPr="00A51BF8">
        <w:t xml:space="preserve"> o proračunskom računovodstvu i Računskom planu  (Narodne novine, br. 124/14, 115/15, 87/16, 3/18, 126/19 i 108/20)</w:t>
      </w:r>
      <w:r w:rsidR="008E5C25">
        <w:t>.</w:t>
      </w:r>
      <w:r w:rsidR="008C44F5">
        <w:t xml:space="preserve"> </w:t>
      </w:r>
    </w:p>
    <w:p w14:paraId="4D379B5E" w14:textId="6E93B48E" w:rsidR="00437650" w:rsidRPr="00EE205F" w:rsidRDefault="00437650" w:rsidP="00EE205F">
      <w:pPr>
        <w:jc w:val="both"/>
      </w:pPr>
      <w:r w:rsidRPr="00EE205F">
        <w:t xml:space="preserve">Utvrđene razlike između neprofitnog i proračunskog računovodstva evidentirane su u 2021. godini kao ispravak početnog stanja, a sukladno uputi „Prelazak s neprofitnog na proračunsko računovodstvo </w:t>
      </w:r>
      <w:r w:rsidR="00511C33" w:rsidRPr="00EE205F">
        <w:t>e</w:t>
      </w:r>
      <w:r w:rsidRPr="00EE205F">
        <w:t>videntiranje početnog stanja“ od</w:t>
      </w:r>
      <w:r w:rsidR="00474094" w:rsidRPr="00EE205F">
        <w:t xml:space="preserve"> stručnih službi </w:t>
      </w:r>
      <w:r w:rsidRPr="00EE205F">
        <w:t>Ministarstva financija.</w:t>
      </w:r>
      <w:r w:rsidR="00474094" w:rsidRPr="00EE205F">
        <w:t xml:space="preserve"> Lučka uprava Ploče je </w:t>
      </w:r>
      <w:r w:rsidR="00474094" w:rsidRPr="00EE205F">
        <w:lastRenderedPageBreak/>
        <w:t>angažirala neovisnog revizora za dogovorene postupke vezano uz potvrdu temeljnice početnog stanja s obzirom na prelazak Lučke uprave Ploče s neprofitnog na proračunsko računovodstvo te potvrdu prijedlog</w:t>
      </w:r>
      <w:r w:rsidR="00EE205F" w:rsidRPr="00EE205F">
        <w:t>a</w:t>
      </w:r>
      <w:r w:rsidR="00474094" w:rsidRPr="00EE205F">
        <w:t xml:space="preserve"> odluke Upravnog vijeća o usvajanju početnih stanja</w:t>
      </w:r>
      <w:r w:rsidR="008E5C25">
        <w:t xml:space="preserve">. </w:t>
      </w:r>
      <w:r w:rsidR="00474094" w:rsidRPr="00EE205F">
        <w:t>Upravno vijeće je na sjednici 27.9.2021. donijelo Odluku o iskazivanju početnog stanja imovine, obveza i vlastitih izvora u poslovnim knjigama sukladno pravilima proračunskog računovodstva i usklađenju viška prihoda za 2020. godinu temeljem pravila proračunskog računovodstva</w:t>
      </w:r>
      <w:r w:rsidR="00EE205F" w:rsidRPr="00EE205F">
        <w:t>.</w:t>
      </w:r>
    </w:p>
    <w:p w14:paraId="08C39E8B" w14:textId="02C9DD00" w:rsidR="00640CD9" w:rsidRDefault="00A51BF8" w:rsidP="00EE205F">
      <w:pPr>
        <w:jc w:val="both"/>
      </w:pPr>
      <w:r>
        <w:t xml:space="preserve"> Za poslovne promjene koje nisu definirane institucionalnim okvirom za proračunsko računovodstvo, primjenjuj</w:t>
      </w:r>
      <w:r w:rsidR="00947ABF">
        <w:t xml:space="preserve">u se </w:t>
      </w:r>
      <w:r w:rsidR="00947ABF" w:rsidRPr="00947ABF">
        <w:t>Međunarodni</w:t>
      </w:r>
      <w:r w:rsidR="00947ABF">
        <w:t xml:space="preserve"> </w:t>
      </w:r>
      <w:r w:rsidR="00947ABF" w:rsidRPr="00947ABF">
        <w:t>računovodstvenih standard</w:t>
      </w:r>
      <w:r w:rsidR="00947ABF">
        <w:t>i</w:t>
      </w:r>
      <w:r w:rsidR="00947ABF" w:rsidRPr="00947ABF">
        <w:t xml:space="preserve"> za javni sektor (MRSJS/IPSAS)</w:t>
      </w:r>
      <w:r w:rsidR="00947ABF">
        <w:t xml:space="preserve"> </w:t>
      </w:r>
      <w:r>
        <w:t>te prakse kojih se pridržavaju proračunski korisnici.</w:t>
      </w:r>
    </w:p>
    <w:p w14:paraId="2985E9CA" w14:textId="1E4D303C" w:rsidR="00947ABF" w:rsidRDefault="00947ABF" w:rsidP="00EE205F">
      <w:pPr>
        <w:jc w:val="both"/>
      </w:pPr>
      <w:r>
        <w:t>Značajne izmjene u računovodstvu od 1.1.2021. su bile sljedeće:</w:t>
      </w:r>
    </w:p>
    <w:p w14:paraId="0CCCDF8F" w14:textId="77777777" w:rsidR="0067525F" w:rsidRDefault="0028465A" w:rsidP="00E405DD">
      <w:pPr>
        <w:pStyle w:val="Odlomakpopisa"/>
        <w:numPr>
          <w:ilvl w:val="0"/>
          <w:numId w:val="16"/>
        </w:numPr>
        <w:ind w:left="357" w:hanging="357"/>
        <w:jc w:val="both"/>
      </w:pPr>
      <w:r>
        <w:t>P</w:t>
      </w:r>
      <w:r w:rsidRPr="008C44F5">
        <w:t>rimjena računskog plana propisanog Pravilnikom o proračunskom računovodstvu i računskom planu</w:t>
      </w:r>
    </w:p>
    <w:p w14:paraId="4D0F44AB" w14:textId="7B191879" w:rsidR="0028465A" w:rsidRDefault="0028465A" w:rsidP="0067525F">
      <w:pPr>
        <w:pStyle w:val="Odlomakpopisa"/>
        <w:numPr>
          <w:ilvl w:val="0"/>
          <w:numId w:val="16"/>
        </w:numPr>
        <w:jc w:val="both"/>
      </w:pPr>
      <w:r>
        <w:t>Prihodi i rashodi iskazuju se uz primjenu modificiranoga računovodstvenog načela nastanka događaja, što znači da se:</w:t>
      </w:r>
    </w:p>
    <w:p w14:paraId="0CB35A70" w14:textId="1B00B66C" w:rsidR="0028465A" w:rsidRDefault="0028465A" w:rsidP="0028465A">
      <w:pPr>
        <w:pStyle w:val="Odlomakpopisa"/>
        <w:numPr>
          <w:ilvl w:val="0"/>
          <w:numId w:val="18"/>
        </w:numPr>
        <w:jc w:val="both"/>
      </w:pPr>
      <w:r>
        <w:t>ne iskazuje rashod amortizacije nefinancijske dugotrajne imovine, već se bilančno evidentira ispravka vrijednosti imovine. Od 1.1.2021. počinje obračun ispravka vrijednosti dugotrajne imovine. Za imovinu nabavljenu prije ovog datuma primjenjuju se stope ispravka vrijednosti  po kojima se ta imovina amortizirala do 31.12.2020. godine.  Za imovinu nabavljeno od 1.1.2021. primjenjuju se stope ispravka vrijednosti za proračunske korisnike</w:t>
      </w:r>
    </w:p>
    <w:p w14:paraId="55765260" w14:textId="63144EE7" w:rsidR="0028465A" w:rsidRDefault="0028465A" w:rsidP="0028465A">
      <w:pPr>
        <w:pStyle w:val="Odlomakpopisa"/>
        <w:numPr>
          <w:ilvl w:val="0"/>
          <w:numId w:val="18"/>
        </w:numPr>
        <w:jc w:val="both"/>
      </w:pPr>
      <w:r>
        <w:t>ne iskazuju prihodi i rashodi uslijed promjena vrijednosti nefinancijske imovine</w:t>
      </w:r>
    </w:p>
    <w:p w14:paraId="64F0085A" w14:textId="3BE925C9" w:rsidR="0028465A" w:rsidRPr="0028465A" w:rsidRDefault="0028465A" w:rsidP="0028465A">
      <w:pPr>
        <w:pStyle w:val="Odlomakpopisa"/>
        <w:numPr>
          <w:ilvl w:val="0"/>
          <w:numId w:val="18"/>
        </w:numPr>
        <w:jc w:val="both"/>
      </w:pPr>
      <w:r>
        <w:t>prihodi priznaju u izvještajnom razdoblju u kojemu su postali raspoloživi i pod uvjetom da se mogu izmjeriti. P</w:t>
      </w:r>
      <w:r w:rsidRPr="0028465A">
        <w:t>riho</w:t>
      </w:r>
      <w:r>
        <w:t>di</w:t>
      </w:r>
      <w:r w:rsidRPr="0028465A">
        <w:t xml:space="preserve"> iz nadležnog proračuna za financiranje obveza (izvor financiranja 11 Opći prihodi i primici i </w:t>
      </w:r>
      <w:r>
        <w:t xml:space="preserve">izvor financiranja </w:t>
      </w:r>
      <w:r w:rsidRPr="0028465A">
        <w:t>559 Refundacije iz EU) priznaju</w:t>
      </w:r>
      <w:r>
        <w:t xml:space="preserve"> se</w:t>
      </w:r>
      <w:r w:rsidRPr="0028465A">
        <w:t xml:space="preserve"> u trenutku podmirenja obveza</w:t>
      </w:r>
    </w:p>
    <w:p w14:paraId="295A40FF" w14:textId="1D23DA7F" w:rsidR="0028465A" w:rsidRDefault="0028465A" w:rsidP="0028465A">
      <w:pPr>
        <w:pStyle w:val="Odlomakpopisa"/>
        <w:numPr>
          <w:ilvl w:val="0"/>
          <w:numId w:val="18"/>
        </w:numPr>
        <w:jc w:val="both"/>
      </w:pPr>
      <w:r>
        <w:t>rashodi priznaju na temelju nastanka poslovnog događaja (obveza) i u izvještajnom razdoblju na koje se odnose neovisno o plaćanju</w:t>
      </w:r>
    </w:p>
    <w:p w14:paraId="7A43B2C1" w14:textId="0382072B" w:rsidR="0028465A" w:rsidRDefault="0028465A" w:rsidP="0028465A">
      <w:pPr>
        <w:pStyle w:val="Odlomakpopisa"/>
        <w:numPr>
          <w:ilvl w:val="0"/>
          <w:numId w:val="18"/>
        </w:numPr>
        <w:jc w:val="both"/>
      </w:pPr>
      <w:r>
        <w:t>rashodi za utrošak kratkotrajne nefinancijske imovine priznaju se u trenutku nabave i u visini njene nabavne vrijednosti</w:t>
      </w:r>
    </w:p>
    <w:p w14:paraId="71A9CC42" w14:textId="05631ADD" w:rsidR="0028465A" w:rsidRDefault="0028465A" w:rsidP="00E405DD">
      <w:pPr>
        <w:pStyle w:val="Odlomakpopisa"/>
        <w:numPr>
          <w:ilvl w:val="0"/>
          <w:numId w:val="18"/>
        </w:numPr>
        <w:ind w:left="1434" w:hanging="357"/>
        <w:jc w:val="both"/>
      </w:pPr>
      <w:r>
        <w:t>za donacije nefinancijske imovine iskazuju se prihodi i rashodi</w:t>
      </w:r>
    </w:p>
    <w:p w14:paraId="1B80A50B" w14:textId="3148477A" w:rsidR="00E405DD" w:rsidRDefault="00E405DD" w:rsidP="00E405DD">
      <w:pPr>
        <w:pStyle w:val="Odlomakpopisa"/>
        <w:numPr>
          <w:ilvl w:val="0"/>
          <w:numId w:val="20"/>
        </w:numPr>
        <w:ind w:left="426" w:hanging="284"/>
        <w:jc w:val="both"/>
      </w:pPr>
      <w:r>
        <w:t>Realizirane tečajne razlike i razlike zbog primjene valutne klauzule obračunavaju se na dan plaćanja obveze odnosno naplate potraživanja u odnosu na tečaj nastanka obveze odnosno potraživanja</w:t>
      </w:r>
    </w:p>
    <w:p w14:paraId="275104F2" w14:textId="6DF0C61C" w:rsidR="0067525F" w:rsidRDefault="0067525F" w:rsidP="00E405DD">
      <w:pPr>
        <w:pStyle w:val="Odlomakpopisa"/>
        <w:numPr>
          <w:ilvl w:val="0"/>
          <w:numId w:val="20"/>
        </w:numPr>
        <w:ind w:left="426" w:hanging="284"/>
        <w:jc w:val="both"/>
      </w:pPr>
      <w:r w:rsidRPr="0067525F">
        <w:t>R</w:t>
      </w:r>
      <w:r w:rsidR="002C3445" w:rsidRPr="0067525F">
        <w:t>azlike koje su rezultat svođenja na tečaj na datum bilance, potraživanja i obveza su</w:t>
      </w:r>
      <w:r w:rsidR="002C3445" w:rsidRPr="002C3445">
        <w:t xml:space="preserve"> nerealizirane tečajne razlike i nerealizirane razlike zbog primjene valutne klauzule koje se ne priznaju kao prihod odnosno rashod jer nisu raspoložive. Pozitivne razlike se iskazuju kao obračunati prihod na osnovnom računu 96415 Prihodi od pozitivnih tečajnih razlika i razlika zbog primjene valutne klauzule, a negativne razlike se iskazuju kao obračunati rashod u okviru podskupine 934 Obračunate negativne tečajne razlike i razlike zbog primjene valutne klauzule</w:t>
      </w:r>
      <w:r w:rsidR="00E42BB4">
        <w:t>, do realizacije istih</w:t>
      </w:r>
    </w:p>
    <w:p w14:paraId="67789527" w14:textId="1FBEDD3D" w:rsidR="0018024B" w:rsidRDefault="0018024B" w:rsidP="0067525F">
      <w:pPr>
        <w:pStyle w:val="Odlomakpopisa"/>
        <w:numPr>
          <w:ilvl w:val="0"/>
          <w:numId w:val="20"/>
        </w:numPr>
        <w:ind w:left="426" w:hanging="284"/>
        <w:jc w:val="both"/>
      </w:pPr>
      <w:r>
        <w:t>Troškovi kamata za zajmove i kredite evidentiraju se u poslovnim knjigama sukladno obračunatim ugovorenim kamatama, kao trošak tekućeg razdoblj</w:t>
      </w:r>
      <w:r w:rsidR="0067525F">
        <w:t>a</w:t>
      </w:r>
    </w:p>
    <w:p w14:paraId="20928C98" w14:textId="2F33E166" w:rsidR="00264898" w:rsidRDefault="00264898" w:rsidP="0067525F">
      <w:pPr>
        <w:jc w:val="both"/>
      </w:pPr>
      <w:r w:rsidRPr="004D602F">
        <w:lastRenderedPageBreak/>
        <w:t>Sukladno komunikaciji sa</w:t>
      </w:r>
      <w:r w:rsidR="00B46675" w:rsidRPr="004D602F">
        <w:t xml:space="preserve"> stručnim službama</w:t>
      </w:r>
      <w:r w:rsidRPr="004D602F">
        <w:t xml:space="preserve"> Ministarstvom financija, </w:t>
      </w:r>
      <w:r w:rsidR="008F31F9" w:rsidRPr="004D602F">
        <w:t>Lučka uprava Ploče je tijekom 2021. godine zadržala otvorene račune u poslovnim bankama</w:t>
      </w:r>
      <w:r w:rsidRPr="004D602F">
        <w:t>. Lučka uprave Ploče obavijestila je sve uplatitelje o novim platnim instrukcijama za uplate prihoda na račun Državnog proračuna sukladno Naputku o načinu uplaćivanja prihoda proračuna, obveznih doprinosa te prihoda za financiranje drugih javnih potreba u 2021. godini (Narodne novine, broj 11/2021). Sva sredstva koja su tijekom godine uplaćena na račune u poslovnim bankama, uplaćivana su na račun Državnog proračuna</w:t>
      </w:r>
      <w:r w:rsidR="00B46675" w:rsidRPr="004D602F">
        <w:t>. Zadržana su sredstva na</w:t>
      </w:r>
      <w:r w:rsidRPr="004D602F">
        <w:t xml:space="preserve"> </w:t>
      </w:r>
      <w:r w:rsidR="00B46675" w:rsidRPr="004D602F">
        <w:t xml:space="preserve">specijalna </w:t>
      </w:r>
      <w:r w:rsidRPr="004D602F">
        <w:t>dva računa na kojima su izdvojena novčana sredstva za čiju su naplati u tijeku sudski sporovi. Nisu vršena plaćanja sa poslovnih računa, osim bankarskih naknada koje su banke „automatikom“ naplaćivale na računima, a koje su prilikom prijenosa sredstava na račun Državnog proračuna evidentirane u sustavu državne riznice. N</w:t>
      </w:r>
      <w:r w:rsidR="00031C95" w:rsidRPr="004D602F">
        <w:t xml:space="preserve">akon prijenosa </w:t>
      </w:r>
      <w:r w:rsidRPr="004D602F">
        <w:t xml:space="preserve">sredstava na dan 31.12.2021. </w:t>
      </w:r>
      <w:r w:rsidR="00031C95" w:rsidRPr="004D602F">
        <w:t xml:space="preserve">na račun </w:t>
      </w:r>
      <w:r w:rsidRPr="004D602F">
        <w:t>D</w:t>
      </w:r>
      <w:r w:rsidR="00031C95" w:rsidRPr="004D602F">
        <w:t>ržavnog proračuna</w:t>
      </w:r>
      <w:r w:rsidRPr="004D602F">
        <w:t xml:space="preserve"> svi računi koji nisu više u funkciji će se zatvoriti. </w:t>
      </w:r>
    </w:p>
    <w:p w14:paraId="4F091049" w14:textId="6070A7C8" w:rsidR="00640CD9" w:rsidRDefault="00640CD9" w:rsidP="00EE205F">
      <w:pPr>
        <w:jc w:val="both"/>
      </w:pPr>
      <w:r>
        <w:t>Lučka uprava Ploče dužna je svoje godišnje financijske izvještaje, (Bilanca, Izvještaj o prihodima i rashodima, primicima i izdacima, Izvještaj o rashodima prema funkcijskoj klasifikaciji, Izvještaj o promjenama u vrijednosti i obujmu imovine i obveza, Izvještaj o obvezama i Bilješke) sukladno čl. 23. Pravilnika o financijskom izvještavanju u proračunskom računovodstvu (Narodne novine br. 3/15, 93/15, 135/15, 2/17, 28/17, 112/18</w:t>
      </w:r>
      <w:r w:rsidR="0027754A">
        <w:t xml:space="preserve">, </w:t>
      </w:r>
      <w:r>
        <w:t>126/19</w:t>
      </w:r>
      <w:r w:rsidR="0027754A">
        <w:t>, 145/20 i 32/21</w:t>
      </w:r>
      <w:r>
        <w:t>), Okružnici Ministarstva financija o sastavljanju, konsolidaciji i predaji financijskih izvještaja proračuna, proračunskih i izvanproračunskih korisnika državnog proračuna, te proračunskih i izvanproračunskih korisnika proračuna jedinica lokalne i područne (regionalne) samouprave za razdoblje od 01. siječnja do 31. prosinca 2021., dostaviti 31. siječnja 2022. godine i to:</w:t>
      </w:r>
    </w:p>
    <w:p w14:paraId="14C296C4" w14:textId="46163E46" w:rsidR="00FF1B4D" w:rsidRDefault="00FF1B4D" w:rsidP="00EE205F">
      <w:pPr>
        <w:pStyle w:val="Odlomakpopisa"/>
        <w:numPr>
          <w:ilvl w:val="0"/>
          <w:numId w:val="2"/>
        </w:numPr>
        <w:jc w:val="both"/>
      </w:pPr>
      <w:r>
        <w:t>Razdjelu: Ministarstvo mora, prometa i infrastrukture</w:t>
      </w:r>
    </w:p>
    <w:p w14:paraId="4DE65028" w14:textId="59044B1E" w:rsidR="00FF1B4D" w:rsidRDefault="00FF1B4D" w:rsidP="00EE205F">
      <w:pPr>
        <w:pStyle w:val="Odlomakpopisa"/>
        <w:numPr>
          <w:ilvl w:val="0"/>
          <w:numId w:val="2"/>
        </w:numPr>
        <w:jc w:val="both"/>
      </w:pPr>
      <w:r>
        <w:t>Državnom uredu za reviziju</w:t>
      </w:r>
    </w:p>
    <w:p w14:paraId="182ADCBB" w14:textId="1D983E75" w:rsidR="00FF1B4D" w:rsidRDefault="0027754A" w:rsidP="00EE205F">
      <w:pPr>
        <w:pStyle w:val="Odlomakpopisa"/>
        <w:numPr>
          <w:ilvl w:val="0"/>
          <w:numId w:val="2"/>
        </w:numPr>
        <w:jc w:val="both"/>
      </w:pPr>
      <w:r>
        <w:t>Područnom uredu FINA-e</w:t>
      </w:r>
    </w:p>
    <w:p w14:paraId="685785EA" w14:textId="5D2E4B0B" w:rsidR="0027754A" w:rsidRDefault="00507BB3" w:rsidP="00EE205F">
      <w:pPr>
        <w:jc w:val="both"/>
      </w:pPr>
      <w:r>
        <w:t>Financijski izvještaji iskazani su u hrvatskim kunama. Na dan 31. prosinca 2021. godine srednji tečaj Hrvatske narodne banke je bio: 1 EUR = 7,</w:t>
      </w:r>
      <w:r w:rsidRPr="00507BB3">
        <w:t xml:space="preserve"> 7,517174</w:t>
      </w:r>
      <w:r>
        <w:t xml:space="preserve"> HRK.</w:t>
      </w:r>
    </w:p>
    <w:p w14:paraId="5B18D7F5" w14:textId="138019AB" w:rsidR="00702880" w:rsidRDefault="00507BB3" w:rsidP="00EE205F">
      <w:pPr>
        <w:jc w:val="both"/>
      </w:pPr>
      <w:r>
        <w:t xml:space="preserve">Sadržaj Bilješki uz </w:t>
      </w:r>
      <w:r w:rsidR="00B47715">
        <w:t>godišnje financijske izvještaje izrađene su u skladu s člancima 13., 14., 15. i 16. Pravilnika o financijskom izvještavanju u proračunskom računovodstvu.</w:t>
      </w:r>
      <w:r w:rsidR="00702880">
        <w:t xml:space="preserve"> </w:t>
      </w:r>
    </w:p>
    <w:p w14:paraId="2965151E" w14:textId="77777777" w:rsidR="008F31F9" w:rsidRDefault="008F31F9" w:rsidP="00EE205F">
      <w:pPr>
        <w:jc w:val="both"/>
      </w:pPr>
    </w:p>
    <w:p w14:paraId="5CE6CDA3" w14:textId="77777777" w:rsidR="00702880" w:rsidRDefault="00702880" w:rsidP="00EE205F">
      <w:pPr>
        <w:jc w:val="both"/>
        <w:rPr>
          <w:b/>
          <w:bCs/>
        </w:rPr>
      </w:pPr>
    </w:p>
    <w:p w14:paraId="309B9091" w14:textId="77777777" w:rsidR="0074596D" w:rsidRDefault="0074596D" w:rsidP="00EE205F">
      <w:pPr>
        <w:jc w:val="both"/>
        <w:rPr>
          <w:b/>
          <w:bCs/>
        </w:rPr>
      </w:pPr>
      <w:r>
        <w:rPr>
          <w:b/>
          <w:bCs/>
        </w:rPr>
        <w:br w:type="page"/>
      </w:r>
    </w:p>
    <w:p w14:paraId="0A80CD8D" w14:textId="34656334" w:rsidR="00F1075C" w:rsidRDefault="00702880" w:rsidP="00B46675">
      <w:pPr>
        <w:jc w:val="center"/>
        <w:rPr>
          <w:b/>
          <w:bCs/>
        </w:rPr>
      </w:pPr>
      <w:r>
        <w:rPr>
          <w:b/>
          <w:bCs/>
        </w:rPr>
        <w:lastRenderedPageBreak/>
        <w:t xml:space="preserve">Bilješke uz </w:t>
      </w:r>
      <w:r w:rsidR="00F1075C" w:rsidRPr="00F1075C">
        <w:rPr>
          <w:b/>
          <w:bCs/>
        </w:rPr>
        <w:t>Izvještaj o prihodima i rashodima, primicima i izdacima</w:t>
      </w:r>
    </w:p>
    <w:p w14:paraId="4C1C164F" w14:textId="1315E463" w:rsidR="00437650" w:rsidRDefault="00702880" w:rsidP="00EE205F">
      <w:pPr>
        <w:jc w:val="both"/>
      </w:pPr>
      <w:r w:rsidRPr="00702880">
        <w:t xml:space="preserve">Bilješke uz Izvještaj o prihodima i rashodima, primicima i izdacima sadrži najvažnije informacije koje nadopunjuju financijska izvješća. Ne sadrže razloge zbog kojih je došlo do većih odstupanja od ostvarenja u izvještajnom razdoblju prethodne godine, </w:t>
      </w:r>
      <w:r w:rsidR="00437650">
        <w:t>b</w:t>
      </w:r>
      <w:r w:rsidR="00437650" w:rsidRPr="00437650">
        <w:t>udući da je Lučka uprava Ploče do 31.12.2020. godine vodila poslovanje sukladno neprofitnom računovodstvu,</w:t>
      </w:r>
      <w:r w:rsidR="00437650">
        <w:t xml:space="preserve"> te</w:t>
      </w:r>
      <w:r w:rsidR="00437650" w:rsidRPr="00437650">
        <w:t xml:space="preserve"> financijski izvještaji ne sadržavaju podatke o izvještajnom razdoblju prethodne godine.</w:t>
      </w:r>
    </w:p>
    <w:p w14:paraId="53D7A683" w14:textId="54F7ED25" w:rsidR="0074596D" w:rsidRDefault="0074596D" w:rsidP="00EE205F">
      <w:pPr>
        <w:jc w:val="both"/>
      </w:pPr>
      <w:r>
        <w:t>Struktura prihoda i rashoda, primitaka i izdataka iskazana je sukladno Računskom planu za proračunsko računovodstvo, a označena je AOP oznakama izvještaja PR-RAS.</w:t>
      </w:r>
    </w:p>
    <w:p w14:paraId="3E63AD78" w14:textId="1ED389A6" w:rsidR="00EE205F" w:rsidRPr="00951A67" w:rsidRDefault="00EE205F" w:rsidP="008C2871">
      <w:pPr>
        <w:jc w:val="center"/>
        <w:rPr>
          <w:b/>
          <w:bCs/>
        </w:rPr>
      </w:pPr>
      <w:r w:rsidRPr="00951A67">
        <w:rPr>
          <w:b/>
          <w:bCs/>
        </w:rPr>
        <w:t>PRIHODI</w:t>
      </w:r>
      <w:r w:rsidR="00E803FB">
        <w:rPr>
          <w:b/>
          <w:bCs/>
        </w:rPr>
        <w:t xml:space="preserve"> I PRIMICI</w:t>
      </w:r>
    </w:p>
    <w:p w14:paraId="605F1A81" w14:textId="5AD710C9" w:rsidR="00951A67" w:rsidRPr="008C2871" w:rsidRDefault="00951A67" w:rsidP="00951A67">
      <w:pPr>
        <w:jc w:val="both"/>
        <w:rPr>
          <w:b/>
          <w:bCs/>
        </w:rPr>
      </w:pPr>
      <w:r w:rsidRPr="008C2871">
        <w:rPr>
          <w:b/>
          <w:bCs/>
        </w:rPr>
        <w:t>6 PRIHODI POSLOVANJA – AOP 001</w:t>
      </w:r>
    </w:p>
    <w:p w14:paraId="3B88A20D" w14:textId="3BE8D5EE" w:rsidR="00951A67" w:rsidRDefault="00951A67" w:rsidP="00951A67">
      <w:pPr>
        <w:jc w:val="both"/>
      </w:pPr>
      <w:r>
        <w:t xml:space="preserve">U 2021. godini prihodi poslovanja ostvareni su u iznosu od 90.216.601,69 HRK. </w:t>
      </w:r>
    </w:p>
    <w:p w14:paraId="03BDA8BD" w14:textId="37D8161F" w:rsidR="00951A67" w:rsidRDefault="00951A67" w:rsidP="00951A67">
      <w:pPr>
        <w:jc w:val="both"/>
      </w:pPr>
      <w:r>
        <w:t>Prihodi ostvareni od koncesijskih naknada te lučkih pristojbi i naknada imaju za cilj potpuni povrat uloženih sredstava u lučku infrastrukturu tijekom ekonomskog vijeka trajanja lučke infrastrukture, koje je usklađeno sa trajanjem sklopljenih koncesijskih ugovora.</w:t>
      </w:r>
    </w:p>
    <w:p w14:paraId="1102A140" w14:textId="2BEEDFF2" w:rsidR="00EE205F" w:rsidRDefault="00EE205F" w:rsidP="00EE205F">
      <w:pPr>
        <w:jc w:val="both"/>
      </w:pPr>
      <w:r w:rsidRPr="00F800EF">
        <w:t xml:space="preserve">Prihodi </w:t>
      </w:r>
      <w:r w:rsidR="00F5484D">
        <w:t xml:space="preserve">poslovanja </w:t>
      </w:r>
      <w:r w:rsidRPr="00F800EF">
        <w:t>obuhvaćaju rezultate transakcija koje utječu na povećanje neto vrijednosti</w:t>
      </w:r>
      <w:r>
        <w:t>, a obuhvaćaju:</w:t>
      </w:r>
    </w:p>
    <w:p w14:paraId="3DFB4134" w14:textId="3876B287" w:rsidR="00B46675" w:rsidRPr="008C2871" w:rsidRDefault="00B46675" w:rsidP="00E803FB">
      <w:pPr>
        <w:jc w:val="both"/>
        <w:rPr>
          <w:b/>
          <w:bCs/>
          <w:i/>
          <w:iCs/>
        </w:rPr>
      </w:pPr>
      <w:r w:rsidRPr="008C2871">
        <w:rPr>
          <w:b/>
          <w:bCs/>
          <w:i/>
          <w:iCs/>
        </w:rPr>
        <w:t>63</w:t>
      </w:r>
      <w:r w:rsidR="0012066E" w:rsidRPr="008C2871">
        <w:rPr>
          <w:b/>
          <w:bCs/>
          <w:i/>
          <w:iCs/>
        </w:rPr>
        <w:t>2</w:t>
      </w:r>
      <w:r w:rsidRPr="008C2871">
        <w:rPr>
          <w:b/>
          <w:bCs/>
          <w:i/>
          <w:iCs/>
        </w:rPr>
        <w:t xml:space="preserve"> Pomoći od međunarodnih organizacije te institucija i tijela EU</w:t>
      </w:r>
      <w:r w:rsidR="00951A67" w:rsidRPr="008C2871">
        <w:rPr>
          <w:b/>
          <w:bCs/>
          <w:i/>
          <w:iCs/>
        </w:rPr>
        <w:t xml:space="preserve"> – AOP 049</w:t>
      </w:r>
    </w:p>
    <w:p w14:paraId="26C8248F" w14:textId="080AD5B4" w:rsidR="00B46675" w:rsidRDefault="00B46675" w:rsidP="00E803FB">
      <w:pPr>
        <w:pStyle w:val="Odlomakpopisa"/>
        <w:ind w:left="0"/>
        <w:jc w:val="both"/>
      </w:pPr>
      <w:r>
        <w:t>Prihodi od p</w:t>
      </w:r>
      <w:r w:rsidRPr="0016039F">
        <w:t>omoći od međunarodnih organizacija te institucija i tijela EU</w:t>
      </w:r>
      <w:r>
        <w:t xml:space="preserve"> priznaju se po novčanom načelu, a odnose na uplaćena sredstva iz pomoći EU iz izvora financiranja </w:t>
      </w:r>
      <w:r w:rsidR="00951A67">
        <w:t xml:space="preserve"> </w:t>
      </w:r>
      <w:r>
        <w:t xml:space="preserve">51 </w:t>
      </w:r>
      <w:r w:rsidR="00951A67">
        <w:t xml:space="preserve">Pomoći EU </w:t>
      </w:r>
      <w:r>
        <w:t>za financiranje tekućih i kapitalnih rashoda u EU projektima.</w:t>
      </w:r>
    </w:p>
    <w:p w14:paraId="348D3C1C" w14:textId="77777777" w:rsidR="00B46675" w:rsidRDefault="00B46675" w:rsidP="00E803FB">
      <w:pPr>
        <w:pStyle w:val="Odlomakpopisa"/>
        <w:ind w:left="1"/>
        <w:jc w:val="both"/>
      </w:pPr>
    </w:p>
    <w:p w14:paraId="2C09A02C" w14:textId="199F9C8D" w:rsidR="00B46675" w:rsidRDefault="00B46675" w:rsidP="00E803FB">
      <w:pPr>
        <w:pStyle w:val="Odlomakpopisa"/>
        <w:ind w:left="1"/>
        <w:jc w:val="both"/>
      </w:pPr>
      <w:r>
        <w:t xml:space="preserve">U 2021. ostvareni su prihodi u ukupnom iznosu 2.030.007,01 HRK. Ovi prihodi se odnose na EU projekte vezane uz Prekogranične programe suradnje Hrvatska-Italija i ADRION. Projekt MultiAPPRO </w:t>
      </w:r>
      <w:r w:rsidR="00951A67">
        <w:t xml:space="preserve"> </w:t>
      </w:r>
      <w:r>
        <w:t xml:space="preserve">završen </w:t>
      </w:r>
      <w:r w:rsidR="00951A67">
        <w:t xml:space="preserve">je </w:t>
      </w:r>
      <w:r>
        <w:t xml:space="preserve">31.1.2021. godine, projekt ADRIPASS 31.12.2020. godine projekt </w:t>
      </w:r>
      <w:r w:rsidR="00951A67">
        <w:t>te</w:t>
      </w:r>
      <w:r>
        <w:t xml:space="preserve"> projekt CHARGE 31.12.2019. godine. Ostali projekti su u tijeku.</w:t>
      </w:r>
      <w:r w:rsidR="00192D5D">
        <w:t xml:space="preserve"> </w:t>
      </w:r>
      <w:r>
        <w:t>Uplate su ostvaren</w:t>
      </w:r>
      <w:r w:rsidR="00951A67">
        <w:t>e</w:t>
      </w:r>
      <w:r>
        <w:t xml:space="preserve"> po </w:t>
      </w:r>
      <w:r w:rsidR="00951A67">
        <w:t xml:space="preserve">EU </w:t>
      </w:r>
      <w:r>
        <w:t xml:space="preserve">projektima kako slijedi: </w:t>
      </w:r>
    </w:p>
    <w:tbl>
      <w:tblPr>
        <w:tblStyle w:val="Reetkatablice"/>
        <w:tblW w:w="0" w:type="auto"/>
        <w:tblInd w:w="1" w:type="dxa"/>
        <w:tblLook w:val="04A0" w:firstRow="1" w:lastRow="0" w:firstColumn="1" w:lastColumn="0" w:noHBand="0" w:noVBand="1"/>
      </w:tblPr>
      <w:tblGrid>
        <w:gridCol w:w="3037"/>
        <w:gridCol w:w="1843"/>
      </w:tblGrid>
      <w:tr w:rsidR="0096196C" w:rsidRPr="0096196C" w14:paraId="3ECAA773" w14:textId="77777777" w:rsidTr="00E803FB">
        <w:tc>
          <w:tcPr>
            <w:tcW w:w="3037" w:type="dxa"/>
          </w:tcPr>
          <w:p w14:paraId="6AFA9084" w14:textId="0FDB9D0B" w:rsidR="0096196C" w:rsidRPr="0096196C" w:rsidRDefault="0096196C" w:rsidP="0096196C">
            <w:pPr>
              <w:pStyle w:val="Odlomakpopisa"/>
              <w:ind w:left="0"/>
              <w:jc w:val="center"/>
              <w:rPr>
                <w:b/>
                <w:bCs/>
              </w:rPr>
            </w:pPr>
            <w:r>
              <w:rPr>
                <w:b/>
                <w:bCs/>
              </w:rPr>
              <w:t xml:space="preserve">Naziv </w:t>
            </w:r>
            <w:r w:rsidRPr="0096196C">
              <w:rPr>
                <w:b/>
                <w:bCs/>
              </w:rPr>
              <w:t>EU projekt</w:t>
            </w:r>
            <w:r>
              <w:rPr>
                <w:b/>
                <w:bCs/>
              </w:rPr>
              <w:t>a</w:t>
            </w:r>
          </w:p>
        </w:tc>
        <w:tc>
          <w:tcPr>
            <w:tcW w:w="1843" w:type="dxa"/>
          </w:tcPr>
          <w:p w14:paraId="298718AE" w14:textId="7CB117E4" w:rsidR="0096196C" w:rsidRPr="0096196C" w:rsidRDefault="0096196C" w:rsidP="0096196C">
            <w:pPr>
              <w:pStyle w:val="Odlomakpopisa"/>
              <w:ind w:left="0"/>
              <w:jc w:val="center"/>
              <w:rPr>
                <w:b/>
                <w:bCs/>
              </w:rPr>
            </w:pPr>
            <w:r w:rsidRPr="0096196C">
              <w:rPr>
                <w:b/>
                <w:bCs/>
              </w:rPr>
              <w:t>Ostvareno 2021. (u HRK)</w:t>
            </w:r>
          </w:p>
        </w:tc>
      </w:tr>
      <w:tr w:rsidR="0096196C" w14:paraId="7055A36A" w14:textId="77777777" w:rsidTr="00E803FB">
        <w:tc>
          <w:tcPr>
            <w:tcW w:w="3037" w:type="dxa"/>
          </w:tcPr>
          <w:p w14:paraId="7F86B141" w14:textId="63AE42DE" w:rsidR="0096196C" w:rsidRDefault="0096196C" w:rsidP="00B46675">
            <w:pPr>
              <w:pStyle w:val="Odlomakpopisa"/>
              <w:ind w:left="0"/>
              <w:jc w:val="both"/>
            </w:pPr>
            <w:r>
              <w:t>MultiAPPRO</w:t>
            </w:r>
          </w:p>
        </w:tc>
        <w:tc>
          <w:tcPr>
            <w:tcW w:w="1843" w:type="dxa"/>
          </w:tcPr>
          <w:p w14:paraId="6D4AF994" w14:textId="46EBA8CC" w:rsidR="0096196C" w:rsidRDefault="0096196C" w:rsidP="0096196C">
            <w:pPr>
              <w:pStyle w:val="Odlomakpopisa"/>
              <w:ind w:left="0"/>
              <w:jc w:val="right"/>
            </w:pPr>
            <w:r>
              <w:t>167.108,15</w:t>
            </w:r>
          </w:p>
        </w:tc>
      </w:tr>
      <w:tr w:rsidR="0096196C" w14:paraId="63A6556C" w14:textId="77777777" w:rsidTr="00E803FB">
        <w:tc>
          <w:tcPr>
            <w:tcW w:w="3037" w:type="dxa"/>
          </w:tcPr>
          <w:p w14:paraId="206B1511" w14:textId="1384E3B4" w:rsidR="0096196C" w:rsidRDefault="0096196C" w:rsidP="00B46675">
            <w:pPr>
              <w:pStyle w:val="Odlomakpopisa"/>
              <w:ind w:left="0"/>
              <w:jc w:val="both"/>
            </w:pPr>
            <w:r>
              <w:t>INTESA –</w:t>
            </w:r>
          </w:p>
        </w:tc>
        <w:tc>
          <w:tcPr>
            <w:tcW w:w="1843" w:type="dxa"/>
          </w:tcPr>
          <w:p w14:paraId="4713F4E2" w14:textId="14215CE1" w:rsidR="0096196C" w:rsidRDefault="0096196C" w:rsidP="0096196C">
            <w:pPr>
              <w:pStyle w:val="Odlomakpopisa"/>
              <w:ind w:left="0"/>
              <w:jc w:val="right"/>
            </w:pPr>
            <w:r>
              <w:t>487.118,22</w:t>
            </w:r>
          </w:p>
        </w:tc>
      </w:tr>
      <w:tr w:rsidR="0096196C" w14:paraId="34F50DD1" w14:textId="77777777" w:rsidTr="00E803FB">
        <w:tc>
          <w:tcPr>
            <w:tcW w:w="3037" w:type="dxa"/>
          </w:tcPr>
          <w:p w14:paraId="7F27E978" w14:textId="07CCE18E" w:rsidR="0096196C" w:rsidRDefault="0096196C" w:rsidP="00B46675">
            <w:pPr>
              <w:pStyle w:val="Odlomakpopisa"/>
              <w:ind w:left="0"/>
              <w:jc w:val="both"/>
            </w:pPr>
            <w:r>
              <w:t>PROMARES</w:t>
            </w:r>
          </w:p>
        </w:tc>
        <w:tc>
          <w:tcPr>
            <w:tcW w:w="1843" w:type="dxa"/>
          </w:tcPr>
          <w:p w14:paraId="3934AD9C" w14:textId="46681475" w:rsidR="0096196C" w:rsidRDefault="0096196C" w:rsidP="0096196C">
            <w:pPr>
              <w:pStyle w:val="Odlomakpopisa"/>
              <w:ind w:left="0"/>
              <w:jc w:val="right"/>
            </w:pPr>
            <w:r>
              <w:t>523.062,58</w:t>
            </w:r>
          </w:p>
        </w:tc>
      </w:tr>
      <w:tr w:rsidR="0096196C" w14:paraId="77004A48" w14:textId="77777777" w:rsidTr="00E803FB">
        <w:tc>
          <w:tcPr>
            <w:tcW w:w="3037" w:type="dxa"/>
          </w:tcPr>
          <w:p w14:paraId="2F27F3C0" w14:textId="74AEE483" w:rsidR="0096196C" w:rsidRDefault="0096196C" w:rsidP="00B46675">
            <w:pPr>
              <w:pStyle w:val="Odlomakpopisa"/>
              <w:ind w:left="0"/>
              <w:jc w:val="both"/>
            </w:pPr>
            <w:r>
              <w:t>ADRIPASS</w:t>
            </w:r>
          </w:p>
        </w:tc>
        <w:tc>
          <w:tcPr>
            <w:tcW w:w="1843" w:type="dxa"/>
          </w:tcPr>
          <w:p w14:paraId="2ABEDBBA" w14:textId="4AE269F1" w:rsidR="0096196C" w:rsidRDefault="0096196C" w:rsidP="0096196C">
            <w:pPr>
              <w:pStyle w:val="Odlomakpopisa"/>
              <w:ind w:left="0"/>
              <w:jc w:val="right"/>
            </w:pPr>
            <w:r>
              <w:t>108.550,38</w:t>
            </w:r>
          </w:p>
        </w:tc>
      </w:tr>
      <w:tr w:rsidR="0096196C" w14:paraId="36ED9FDE" w14:textId="77777777" w:rsidTr="00E803FB">
        <w:tc>
          <w:tcPr>
            <w:tcW w:w="3037" w:type="dxa"/>
          </w:tcPr>
          <w:p w14:paraId="239A82C3" w14:textId="1853B410" w:rsidR="0096196C" w:rsidRDefault="0096196C" w:rsidP="00B46675">
            <w:pPr>
              <w:pStyle w:val="Odlomakpopisa"/>
              <w:ind w:left="0"/>
              <w:jc w:val="both"/>
            </w:pPr>
            <w:r>
              <w:t>SUSPORT</w:t>
            </w:r>
          </w:p>
        </w:tc>
        <w:tc>
          <w:tcPr>
            <w:tcW w:w="1843" w:type="dxa"/>
          </w:tcPr>
          <w:p w14:paraId="79972830" w14:textId="3DCF2EC8" w:rsidR="0096196C" w:rsidRDefault="0096196C" w:rsidP="0096196C">
            <w:pPr>
              <w:pStyle w:val="Odlomakpopisa"/>
              <w:ind w:left="0"/>
              <w:jc w:val="right"/>
            </w:pPr>
            <w:r>
              <w:t>450.796,79</w:t>
            </w:r>
          </w:p>
        </w:tc>
      </w:tr>
      <w:tr w:rsidR="0096196C" w14:paraId="5A771141" w14:textId="77777777" w:rsidTr="00E803FB">
        <w:tc>
          <w:tcPr>
            <w:tcW w:w="3037" w:type="dxa"/>
          </w:tcPr>
          <w:p w14:paraId="53C09FF1" w14:textId="1E217B34" w:rsidR="0096196C" w:rsidRDefault="0096196C" w:rsidP="00B46675">
            <w:pPr>
              <w:pStyle w:val="Odlomakpopisa"/>
              <w:ind w:left="0"/>
              <w:jc w:val="both"/>
            </w:pPr>
            <w:r>
              <w:t>CHARGE</w:t>
            </w:r>
          </w:p>
        </w:tc>
        <w:tc>
          <w:tcPr>
            <w:tcW w:w="1843" w:type="dxa"/>
          </w:tcPr>
          <w:p w14:paraId="1FC4C2EF" w14:textId="54D08D71" w:rsidR="0096196C" w:rsidRDefault="0096196C" w:rsidP="0096196C">
            <w:pPr>
              <w:pStyle w:val="Odlomakpopisa"/>
              <w:ind w:left="0"/>
              <w:jc w:val="right"/>
            </w:pPr>
            <w:r>
              <w:t>293.370,89</w:t>
            </w:r>
          </w:p>
        </w:tc>
      </w:tr>
    </w:tbl>
    <w:p w14:paraId="3FD3B940" w14:textId="77777777" w:rsidR="0012066E" w:rsidRDefault="0012066E" w:rsidP="00E803FB">
      <w:pPr>
        <w:pStyle w:val="Odlomakpopisa"/>
        <w:ind w:left="1"/>
        <w:jc w:val="both"/>
      </w:pPr>
    </w:p>
    <w:p w14:paraId="2E6C41F4" w14:textId="4BACD765" w:rsidR="0012066E" w:rsidRPr="008C2871" w:rsidRDefault="0012066E" w:rsidP="00E803FB">
      <w:pPr>
        <w:pStyle w:val="Odlomakpopisa"/>
        <w:ind w:left="0"/>
        <w:jc w:val="both"/>
        <w:rPr>
          <w:b/>
          <w:bCs/>
          <w:i/>
          <w:iCs/>
        </w:rPr>
      </w:pPr>
      <w:r w:rsidRPr="008C2871">
        <w:rPr>
          <w:b/>
          <w:bCs/>
          <w:i/>
          <w:iCs/>
        </w:rPr>
        <w:t>641 Prihodi od financijske imovine – AOP 078</w:t>
      </w:r>
    </w:p>
    <w:p w14:paraId="0D18DAA3" w14:textId="77777777" w:rsidR="0012066E" w:rsidRDefault="0012066E" w:rsidP="00E803FB">
      <w:pPr>
        <w:pStyle w:val="Odlomakpopisa"/>
        <w:ind w:left="0"/>
        <w:jc w:val="both"/>
      </w:pPr>
      <w:r>
        <w:t>Prihodi od financijske imovine priznaju se po novčanom načelu.</w:t>
      </w:r>
    </w:p>
    <w:p w14:paraId="1D92FBD7" w14:textId="44F52F00" w:rsidR="0012066E" w:rsidRDefault="0012066E" w:rsidP="00E803FB">
      <w:pPr>
        <w:pStyle w:val="Odlomakpopisa"/>
        <w:ind w:left="1"/>
        <w:jc w:val="both"/>
      </w:pPr>
      <w:r>
        <w:t>Prihodi od financijske imovine u iznosu 36.519,47 HRK najvećim dijelom se odnose na prihode od pozitivnih tečajnih razlika, a manjim dijelom na prihode od kamata na depozite po viđenju i prihode od zateznih kamata.</w:t>
      </w:r>
    </w:p>
    <w:p w14:paraId="0C2EB68B" w14:textId="77777777" w:rsidR="0012066E" w:rsidRDefault="0012066E" w:rsidP="00E803FB">
      <w:pPr>
        <w:pStyle w:val="Odlomakpopisa"/>
        <w:ind w:left="1"/>
        <w:jc w:val="both"/>
      </w:pPr>
    </w:p>
    <w:p w14:paraId="11EB6D31" w14:textId="665D2AC4" w:rsidR="0012066E" w:rsidRPr="008C2871" w:rsidRDefault="0012066E" w:rsidP="00E803FB">
      <w:pPr>
        <w:pStyle w:val="Odlomakpopisa"/>
        <w:ind w:left="1"/>
        <w:jc w:val="both"/>
        <w:rPr>
          <w:b/>
          <w:bCs/>
          <w:i/>
          <w:iCs/>
        </w:rPr>
      </w:pPr>
      <w:r w:rsidRPr="008C2871">
        <w:rPr>
          <w:b/>
          <w:bCs/>
          <w:i/>
          <w:iCs/>
        </w:rPr>
        <w:lastRenderedPageBreak/>
        <w:t>642 Prihodi od nefinancijske imovine – AOP</w:t>
      </w:r>
      <w:r w:rsidR="00003F20" w:rsidRPr="008C2871">
        <w:rPr>
          <w:b/>
          <w:bCs/>
          <w:i/>
          <w:iCs/>
        </w:rPr>
        <w:t xml:space="preserve"> </w:t>
      </w:r>
    </w:p>
    <w:p w14:paraId="0FC8B98F" w14:textId="67BD7186" w:rsidR="0012066E" w:rsidRDefault="00003F20" w:rsidP="00E803FB">
      <w:pPr>
        <w:pStyle w:val="Odlomakpopisa"/>
        <w:ind w:left="1"/>
        <w:jc w:val="both"/>
      </w:pPr>
      <w:r>
        <w:t xml:space="preserve">Prihodi od nefinancijske imovine priznaju se po novčanom načelu, a odnose se na </w:t>
      </w:r>
      <w:r w:rsidR="0012066E">
        <w:t>prihode od koncesijskih naknada i to:</w:t>
      </w:r>
    </w:p>
    <w:p w14:paraId="228364BD" w14:textId="074BB49A" w:rsidR="0012066E" w:rsidRDefault="0012066E" w:rsidP="00E803FB">
      <w:pPr>
        <w:pStyle w:val="Odlomakpopisa"/>
        <w:ind w:left="1"/>
        <w:jc w:val="both"/>
      </w:pPr>
      <w:r>
        <w:t xml:space="preserve">Fiksne koncesijske naknade – </w:t>
      </w:r>
      <w:r w:rsidR="00003F20">
        <w:t>4.222.118,92</w:t>
      </w:r>
      <w:r>
        <w:t xml:space="preserve"> HRK</w:t>
      </w:r>
    </w:p>
    <w:p w14:paraId="25BC6C92" w14:textId="4198E311" w:rsidR="0012066E" w:rsidRDefault="0012066E" w:rsidP="00E803FB">
      <w:pPr>
        <w:pStyle w:val="Odlomakpopisa"/>
        <w:ind w:left="1"/>
        <w:jc w:val="both"/>
      </w:pPr>
      <w:r>
        <w:t xml:space="preserve">Varijabilne koncesijske naknade – </w:t>
      </w:r>
      <w:r w:rsidR="00003F20">
        <w:t>6.087.756,03</w:t>
      </w:r>
      <w:r>
        <w:t xml:space="preserve"> HRK</w:t>
      </w:r>
    </w:p>
    <w:p w14:paraId="7B700E23" w14:textId="77777777" w:rsidR="00003F20" w:rsidRDefault="00003F20" w:rsidP="00E803FB">
      <w:pPr>
        <w:pStyle w:val="Odlomakpopisa"/>
        <w:ind w:left="1"/>
        <w:jc w:val="both"/>
      </w:pPr>
    </w:p>
    <w:p w14:paraId="489DE293" w14:textId="69B90E8C" w:rsidR="0012066E" w:rsidRDefault="0012066E" w:rsidP="00E803FB">
      <w:pPr>
        <w:pStyle w:val="Odlomakpopisa"/>
        <w:ind w:left="1"/>
        <w:jc w:val="both"/>
      </w:pPr>
      <w:r>
        <w:t>Od osnivanja Lučke uprave Ploče nije riješeno pitanje pomorskog dobra na nekretnini koju koristi bez koncesijskog ugovora društvo Naftni terminali federacije d.o.o. Sukladno hrvatskim propisima Državno odvjetništvo Republike Hrvatske ima obvezu rješavanja upisa pomorskog dobra u zemljišnim knjigama. Lučka uprava Ploče kontinuirano pokušava riješiti pravni status poslovanja društva Naftni terminali federacije d.o.o. budući da isto koristi Terminal za tekuće terete Lučke uprave Ploče bez koncesijskog ugovora i bez plaćanja koncesijske naknade, ali plaća lučke pristojbe za prekrcaj tereta.</w:t>
      </w:r>
    </w:p>
    <w:p w14:paraId="3BA0A0C7" w14:textId="77777777" w:rsidR="00003F20" w:rsidRDefault="00003F20" w:rsidP="00E803FB">
      <w:pPr>
        <w:pStyle w:val="Odlomakpopisa"/>
        <w:ind w:left="1"/>
        <w:jc w:val="both"/>
      </w:pPr>
    </w:p>
    <w:p w14:paraId="6C09EA74" w14:textId="14DB4988" w:rsidR="0012066E" w:rsidRDefault="0012066E" w:rsidP="00E803FB">
      <w:pPr>
        <w:pStyle w:val="Odlomakpopisa"/>
        <w:ind w:left="1"/>
        <w:jc w:val="both"/>
      </w:pPr>
      <w:r>
        <w:t>Lučka uprava Ploče je pisanim putem inicirala postupanje Općinskog državnog Odvjetništva u Metkoviću, kako bi aktualizirala predmetnu problematiku, a sve u cilju iznalaženja odgovarajućeg rješenja. Kako iz ODO-a u Metkoviću nismo dobili odgovor na predani podnesak, pokrenut je pojedinačni ispravni postupak ispred Zemljišnoknjižnog odjela Ploče, Općinskog suda u Metkoviću, a sve kako bi se na predmetnoj k.č. 4559/7 k.o. Komin-stari, upisalo pomorsko dobro, a potom reguliralo pitanje poslovanja NTF-a na lučkom području luke Ploče.</w:t>
      </w:r>
    </w:p>
    <w:p w14:paraId="13754743" w14:textId="77777777" w:rsidR="00003F20" w:rsidRDefault="00003F20" w:rsidP="00E803FB">
      <w:pPr>
        <w:pStyle w:val="Odlomakpopisa"/>
        <w:ind w:left="1"/>
        <w:jc w:val="both"/>
      </w:pPr>
    </w:p>
    <w:p w14:paraId="2A1AB94C" w14:textId="6FAE2D6F" w:rsidR="00003F20" w:rsidRPr="008C2871" w:rsidRDefault="00003F20" w:rsidP="00E803FB">
      <w:pPr>
        <w:pStyle w:val="Odlomakpopisa"/>
        <w:ind w:left="1"/>
        <w:jc w:val="both"/>
        <w:rPr>
          <w:b/>
          <w:bCs/>
          <w:i/>
          <w:iCs/>
        </w:rPr>
      </w:pPr>
      <w:r w:rsidRPr="008C2871">
        <w:rPr>
          <w:b/>
          <w:bCs/>
          <w:i/>
          <w:iCs/>
        </w:rPr>
        <w:t>65</w:t>
      </w:r>
      <w:r w:rsidR="008C2871" w:rsidRPr="008C2871">
        <w:rPr>
          <w:b/>
          <w:bCs/>
          <w:i/>
          <w:iCs/>
        </w:rPr>
        <w:t>1</w:t>
      </w:r>
      <w:r w:rsidRPr="008C2871">
        <w:rPr>
          <w:b/>
          <w:bCs/>
          <w:i/>
          <w:iCs/>
        </w:rPr>
        <w:t xml:space="preserve"> Prihodi od upravnih i administrativnih pristojbi, pristojbi po posebnim propisima i naknada – AOP </w:t>
      </w:r>
      <w:r w:rsidR="00CF101B" w:rsidRPr="008C2871">
        <w:rPr>
          <w:b/>
          <w:bCs/>
          <w:i/>
          <w:iCs/>
        </w:rPr>
        <w:t>102</w:t>
      </w:r>
    </w:p>
    <w:p w14:paraId="5E435599" w14:textId="20DE7D9B" w:rsidR="00003F20" w:rsidRDefault="00003F20" w:rsidP="00E803FB">
      <w:pPr>
        <w:pStyle w:val="Odlomakpopisa"/>
        <w:ind w:left="1"/>
        <w:jc w:val="both"/>
      </w:pPr>
      <w:r>
        <w:t xml:space="preserve">Prihodi od upravnih i administrativnih pristojbi, pristojbi po posebnim propisima i naknada odnose se na prihode od ostalih naknada i pristojbi za posebne namjene lučkih uprava, a priznaju se u trenutku naplate. Ovi prihodi iznose </w:t>
      </w:r>
      <w:r w:rsidR="000D5B8E">
        <w:t>22.540.546,00</w:t>
      </w:r>
      <w:r>
        <w:t xml:space="preserve"> HRK, a odnose se na prihode od lučkih pristojbi i naknada, a ostvareni su prema sljedećoj strukturi:</w:t>
      </w:r>
    </w:p>
    <w:p w14:paraId="515FA6B8" w14:textId="01371D89" w:rsidR="000D5B8E" w:rsidRDefault="000D5B8E" w:rsidP="00E803FB">
      <w:pPr>
        <w:pStyle w:val="Odlomakpopisa"/>
        <w:ind w:left="1"/>
        <w:jc w:val="both"/>
      </w:pPr>
    </w:p>
    <w:tbl>
      <w:tblPr>
        <w:tblStyle w:val="Reetkatablice"/>
        <w:tblW w:w="0" w:type="auto"/>
        <w:tblInd w:w="1" w:type="dxa"/>
        <w:tblLook w:val="04A0" w:firstRow="1" w:lastRow="0" w:firstColumn="1" w:lastColumn="0" w:noHBand="0" w:noVBand="1"/>
      </w:tblPr>
      <w:tblGrid>
        <w:gridCol w:w="3888"/>
        <w:gridCol w:w="2268"/>
      </w:tblGrid>
      <w:tr w:rsidR="000D0A65" w:rsidRPr="000D0A65" w14:paraId="02F7BC1B" w14:textId="77777777" w:rsidTr="00E803FB">
        <w:trPr>
          <w:trHeight w:val="211"/>
        </w:trPr>
        <w:tc>
          <w:tcPr>
            <w:tcW w:w="3888" w:type="dxa"/>
          </w:tcPr>
          <w:p w14:paraId="2D47A1CE" w14:textId="3B9EBEFF" w:rsidR="000D0A65" w:rsidRPr="000D0A65" w:rsidRDefault="000D0A65" w:rsidP="000D0A65">
            <w:pPr>
              <w:pStyle w:val="Odlomakpopisa"/>
              <w:ind w:left="0"/>
              <w:jc w:val="center"/>
              <w:rPr>
                <w:b/>
                <w:bCs/>
              </w:rPr>
            </w:pPr>
            <w:r w:rsidRPr="000D0A65">
              <w:rPr>
                <w:b/>
                <w:bCs/>
              </w:rPr>
              <w:t>Vrsta prihoda</w:t>
            </w:r>
          </w:p>
        </w:tc>
        <w:tc>
          <w:tcPr>
            <w:tcW w:w="2268" w:type="dxa"/>
          </w:tcPr>
          <w:p w14:paraId="3017251E" w14:textId="0B977D31" w:rsidR="000D0A65" w:rsidRPr="000D0A65" w:rsidRDefault="000D0A65" w:rsidP="000D0A65">
            <w:pPr>
              <w:pStyle w:val="Odlomakpopisa"/>
              <w:ind w:left="360"/>
              <w:jc w:val="center"/>
              <w:rPr>
                <w:b/>
                <w:bCs/>
              </w:rPr>
            </w:pPr>
            <w:r w:rsidRPr="000D0A65">
              <w:rPr>
                <w:b/>
                <w:bCs/>
              </w:rPr>
              <w:t>Ostvareno 2021. (u HRK)</w:t>
            </w:r>
          </w:p>
        </w:tc>
      </w:tr>
      <w:tr w:rsidR="000D0A65" w14:paraId="6AFD4592" w14:textId="77777777" w:rsidTr="00E803FB">
        <w:trPr>
          <w:trHeight w:val="411"/>
        </w:trPr>
        <w:tc>
          <w:tcPr>
            <w:tcW w:w="3888" w:type="dxa"/>
          </w:tcPr>
          <w:p w14:paraId="2807D820" w14:textId="71DACF34" w:rsidR="000D0A65" w:rsidRDefault="000D0A65" w:rsidP="000D0A65">
            <w:pPr>
              <w:pStyle w:val="Odlomakpopisa"/>
              <w:ind w:left="0"/>
            </w:pPr>
            <w:r>
              <w:t xml:space="preserve">Lučke pristojbe za prekrcaj tereta  </w:t>
            </w:r>
          </w:p>
        </w:tc>
        <w:tc>
          <w:tcPr>
            <w:tcW w:w="2268" w:type="dxa"/>
          </w:tcPr>
          <w:p w14:paraId="12DF0887" w14:textId="7AB1F5C5" w:rsidR="000D0A65" w:rsidRDefault="000D0A65" w:rsidP="0096196C">
            <w:pPr>
              <w:pStyle w:val="Odlomakpopisa"/>
              <w:ind w:left="360"/>
              <w:jc w:val="right"/>
            </w:pPr>
            <w:r>
              <w:t xml:space="preserve">16.255.894,49 </w:t>
            </w:r>
          </w:p>
          <w:p w14:paraId="4FFAFE5E" w14:textId="77777777" w:rsidR="000D0A65" w:rsidRDefault="000D0A65" w:rsidP="0096196C">
            <w:pPr>
              <w:pStyle w:val="Odlomakpopisa"/>
              <w:ind w:left="360"/>
              <w:jc w:val="right"/>
            </w:pPr>
          </w:p>
        </w:tc>
      </w:tr>
      <w:tr w:rsidR="000D0A65" w14:paraId="4525E664" w14:textId="77777777" w:rsidTr="00E803FB">
        <w:trPr>
          <w:trHeight w:val="423"/>
        </w:trPr>
        <w:tc>
          <w:tcPr>
            <w:tcW w:w="3888" w:type="dxa"/>
          </w:tcPr>
          <w:p w14:paraId="74F800DE" w14:textId="3262E1C6" w:rsidR="000D0A65" w:rsidRDefault="000D0A65" w:rsidP="000D0A65">
            <w:pPr>
              <w:pStyle w:val="Odlomakpopisa"/>
              <w:ind w:left="0"/>
            </w:pPr>
            <w:r>
              <w:t>Lučke pristojbe za promet putnika i vozila</w:t>
            </w:r>
          </w:p>
        </w:tc>
        <w:tc>
          <w:tcPr>
            <w:tcW w:w="2268" w:type="dxa"/>
          </w:tcPr>
          <w:p w14:paraId="1738673D" w14:textId="182E831A" w:rsidR="000D0A65" w:rsidRDefault="000D0A65" w:rsidP="0096196C">
            <w:pPr>
              <w:pStyle w:val="Odlomakpopisa"/>
              <w:ind w:left="360"/>
              <w:jc w:val="right"/>
            </w:pPr>
            <w:r>
              <w:t xml:space="preserve">625.072,55 </w:t>
            </w:r>
          </w:p>
          <w:p w14:paraId="6946332B" w14:textId="77777777" w:rsidR="000D0A65" w:rsidRDefault="000D0A65" w:rsidP="0096196C">
            <w:pPr>
              <w:pStyle w:val="Odlomakpopisa"/>
              <w:ind w:left="0"/>
              <w:jc w:val="right"/>
            </w:pPr>
          </w:p>
        </w:tc>
      </w:tr>
      <w:tr w:rsidR="000D0A65" w14:paraId="28E3DDD8" w14:textId="77777777" w:rsidTr="00E803FB">
        <w:trPr>
          <w:trHeight w:val="411"/>
        </w:trPr>
        <w:tc>
          <w:tcPr>
            <w:tcW w:w="3888" w:type="dxa"/>
          </w:tcPr>
          <w:p w14:paraId="5A046823" w14:textId="51EFFA1C" w:rsidR="000D0A65" w:rsidRDefault="000D0A65" w:rsidP="000D0A65">
            <w:pPr>
              <w:pStyle w:val="Odlomakpopisa"/>
              <w:ind w:left="0"/>
            </w:pPr>
            <w:r>
              <w:t>Naknade za korištenje Slobodne zone za potrebe trgovanja na lučkom području</w:t>
            </w:r>
          </w:p>
        </w:tc>
        <w:tc>
          <w:tcPr>
            <w:tcW w:w="2268" w:type="dxa"/>
          </w:tcPr>
          <w:p w14:paraId="1F1B3748" w14:textId="4B682BBA" w:rsidR="000D0A65" w:rsidRDefault="000D0A65" w:rsidP="0096196C">
            <w:pPr>
              <w:pStyle w:val="Odlomakpopisa"/>
              <w:ind w:left="360"/>
              <w:jc w:val="right"/>
            </w:pPr>
            <w:r>
              <w:t xml:space="preserve">47.030,54 </w:t>
            </w:r>
          </w:p>
          <w:p w14:paraId="761BF070" w14:textId="77777777" w:rsidR="000D0A65" w:rsidRDefault="000D0A65" w:rsidP="0096196C">
            <w:pPr>
              <w:pStyle w:val="Odlomakpopisa"/>
              <w:ind w:left="0"/>
              <w:jc w:val="right"/>
            </w:pPr>
          </w:p>
        </w:tc>
      </w:tr>
      <w:tr w:rsidR="000D0A65" w14:paraId="46EEF2A3" w14:textId="77777777" w:rsidTr="00E803FB">
        <w:trPr>
          <w:trHeight w:val="834"/>
        </w:trPr>
        <w:tc>
          <w:tcPr>
            <w:tcW w:w="3888" w:type="dxa"/>
          </w:tcPr>
          <w:p w14:paraId="48C26356" w14:textId="5B8DA776" w:rsidR="000D0A65" w:rsidRDefault="000D0A65" w:rsidP="000D0A65">
            <w:pPr>
              <w:pStyle w:val="Odlomakpopisa"/>
              <w:ind w:left="0"/>
            </w:pPr>
            <w:r>
              <w:t>Naknade za korištenje lučke infrastrukture (naknada za ulazak vozila u lučko područje, naknada z za parking i naknada za korištenje lučke dizalice)</w:t>
            </w:r>
          </w:p>
        </w:tc>
        <w:tc>
          <w:tcPr>
            <w:tcW w:w="2268" w:type="dxa"/>
          </w:tcPr>
          <w:p w14:paraId="030778FC" w14:textId="766249A5" w:rsidR="000D0A65" w:rsidRDefault="000D0A65" w:rsidP="0096196C">
            <w:pPr>
              <w:pStyle w:val="Odlomakpopisa"/>
              <w:ind w:left="360"/>
              <w:jc w:val="right"/>
            </w:pPr>
            <w:r w:rsidRPr="000D5B8E">
              <w:t>4.824.7</w:t>
            </w:r>
            <w:r>
              <w:t>9</w:t>
            </w:r>
            <w:r w:rsidRPr="000D5B8E">
              <w:t>1,06</w:t>
            </w:r>
            <w:r>
              <w:t xml:space="preserve"> </w:t>
            </w:r>
          </w:p>
          <w:p w14:paraId="6469B919" w14:textId="77777777" w:rsidR="000D0A65" w:rsidRDefault="000D0A65" w:rsidP="0096196C">
            <w:pPr>
              <w:pStyle w:val="Odlomakpopisa"/>
              <w:ind w:left="0"/>
              <w:jc w:val="right"/>
            </w:pPr>
          </w:p>
        </w:tc>
      </w:tr>
      <w:tr w:rsidR="000D0A65" w14:paraId="634D2490" w14:textId="77777777" w:rsidTr="00E803FB">
        <w:trPr>
          <w:trHeight w:val="423"/>
        </w:trPr>
        <w:tc>
          <w:tcPr>
            <w:tcW w:w="3888" w:type="dxa"/>
          </w:tcPr>
          <w:p w14:paraId="57DF2909" w14:textId="6220A544" w:rsidR="000D0A65" w:rsidRDefault="000D0A65" w:rsidP="000D0A65">
            <w:pPr>
              <w:pStyle w:val="Odlomakpopisa"/>
              <w:ind w:left="0"/>
            </w:pPr>
            <w:r>
              <w:t>Brodska ležarina</w:t>
            </w:r>
          </w:p>
        </w:tc>
        <w:tc>
          <w:tcPr>
            <w:tcW w:w="2268" w:type="dxa"/>
          </w:tcPr>
          <w:p w14:paraId="0FB1DF23" w14:textId="33B03F4B" w:rsidR="000D0A65" w:rsidRDefault="000D0A65" w:rsidP="0096196C">
            <w:pPr>
              <w:pStyle w:val="Odlomakpopisa"/>
              <w:ind w:left="360"/>
              <w:jc w:val="right"/>
            </w:pPr>
            <w:r>
              <w:t xml:space="preserve">68.019,07 </w:t>
            </w:r>
          </w:p>
          <w:p w14:paraId="27362599" w14:textId="77777777" w:rsidR="000D0A65" w:rsidRDefault="000D0A65" w:rsidP="0096196C">
            <w:pPr>
              <w:pStyle w:val="Odlomakpopisa"/>
              <w:ind w:left="0"/>
              <w:jc w:val="right"/>
            </w:pPr>
          </w:p>
        </w:tc>
      </w:tr>
      <w:tr w:rsidR="000D0A65" w14:paraId="60A49469" w14:textId="77777777" w:rsidTr="00E803FB">
        <w:trPr>
          <w:trHeight w:val="411"/>
        </w:trPr>
        <w:tc>
          <w:tcPr>
            <w:tcW w:w="3888" w:type="dxa"/>
          </w:tcPr>
          <w:p w14:paraId="3D2E1819" w14:textId="703E3DF5" w:rsidR="000D0A65" w:rsidRDefault="000D0A65" w:rsidP="000D0A65">
            <w:pPr>
              <w:pStyle w:val="Odlomakpopisa"/>
              <w:ind w:left="0"/>
            </w:pPr>
            <w:r>
              <w:t>Maritimna sigurnosna pristojba</w:t>
            </w:r>
          </w:p>
        </w:tc>
        <w:tc>
          <w:tcPr>
            <w:tcW w:w="2268" w:type="dxa"/>
          </w:tcPr>
          <w:p w14:paraId="487FE103" w14:textId="3C4DBDD9" w:rsidR="000D0A65" w:rsidRDefault="000D0A65" w:rsidP="0096196C">
            <w:pPr>
              <w:pStyle w:val="Odlomakpopisa"/>
              <w:ind w:left="360"/>
              <w:jc w:val="right"/>
            </w:pPr>
            <w:r>
              <w:t>610.506,49</w:t>
            </w:r>
          </w:p>
          <w:p w14:paraId="2C5F574B" w14:textId="77777777" w:rsidR="000D0A65" w:rsidRDefault="000D0A65" w:rsidP="0096196C">
            <w:pPr>
              <w:pStyle w:val="Odlomakpopisa"/>
              <w:ind w:left="360"/>
              <w:jc w:val="right"/>
            </w:pPr>
          </w:p>
        </w:tc>
      </w:tr>
      <w:tr w:rsidR="000D0A65" w14:paraId="54C83E9F" w14:textId="77777777" w:rsidTr="00E803FB">
        <w:trPr>
          <w:trHeight w:val="211"/>
        </w:trPr>
        <w:tc>
          <w:tcPr>
            <w:tcW w:w="3888" w:type="dxa"/>
          </w:tcPr>
          <w:p w14:paraId="0CF050D3" w14:textId="08C9EAC4" w:rsidR="000D0A65" w:rsidRDefault="000D0A65" w:rsidP="000D0A65">
            <w:pPr>
              <w:pStyle w:val="Odlomakpopisa"/>
              <w:ind w:left="0"/>
            </w:pPr>
            <w:r>
              <w:t>Sigurnosna naknada - ID kartica</w:t>
            </w:r>
          </w:p>
        </w:tc>
        <w:tc>
          <w:tcPr>
            <w:tcW w:w="2268" w:type="dxa"/>
          </w:tcPr>
          <w:p w14:paraId="7A59741C" w14:textId="4651699E" w:rsidR="000D0A65" w:rsidRDefault="000D0A65" w:rsidP="0096196C">
            <w:pPr>
              <w:pStyle w:val="Odlomakpopisa"/>
              <w:ind w:left="360"/>
              <w:jc w:val="right"/>
            </w:pPr>
            <w:r>
              <w:t>28.800,00</w:t>
            </w:r>
          </w:p>
        </w:tc>
      </w:tr>
      <w:tr w:rsidR="000D0A65" w14:paraId="5F2EE0CC" w14:textId="77777777" w:rsidTr="00E803FB">
        <w:trPr>
          <w:trHeight w:val="411"/>
        </w:trPr>
        <w:tc>
          <w:tcPr>
            <w:tcW w:w="3888" w:type="dxa"/>
          </w:tcPr>
          <w:p w14:paraId="4A8D5215" w14:textId="31FE15B6" w:rsidR="000D0A65" w:rsidRDefault="000D0A65" w:rsidP="000D0A65">
            <w:pPr>
              <w:pStyle w:val="Odlomakpopisa"/>
              <w:ind w:left="0"/>
            </w:pPr>
            <w:r>
              <w:t>Prihodi od naknada za špedicijska i agencijska odobrenja</w:t>
            </w:r>
          </w:p>
        </w:tc>
        <w:tc>
          <w:tcPr>
            <w:tcW w:w="2268" w:type="dxa"/>
          </w:tcPr>
          <w:p w14:paraId="2A92DCD7" w14:textId="3D005602" w:rsidR="000D0A65" w:rsidRDefault="000D0A65" w:rsidP="000D0A65">
            <w:pPr>
              <w:pStyle w:val="Odlomakpopisa"/>
              <w:ind w:left="360"/>
              <w:jc w:val="right"/>
            </w:pPr>
            <w:r>
              <w:t xml:space="preserve">80.431,80 </w:t>
            </w:r>
          </w:p>
        </w:tc>
      </w:tr>
    </w:tbl>
    <w:p w14:paraId="3A74D0E9" w14:textId="77777777" w:rsidR="000D0A65" w:rsidRDefault="000D0A65" w:rsidP="00E803FB">
      <w:pPr>
        <w:pStyle w:val="Odlomakpopisa"/>
        <w:ind w:left="1"/>
        <w:jc w:val="both"/>
      </w:pPr>
    </w:p>
    <w:p w14:paraId="1F574CB4" w14:textId="3EF1B022" w:rsidR="00192D5D" w:rsidRPr="00192D5D" w:rsidRDefault="00192D5D" w:rsidP="00E803FB">
      <w:pPr>
        <w:pStyle w:val="Odlomakpopisa"/>
        <w:ind w:left="1"/>
        <w:jc w:val="both"/>
        <w:rPr>
          <w:b/>
          <w:bCs/>
          <w:i/>
          <w:iCs/>
        </w:rPr>
      </w:pPr>
      <w:r w:rsidRPr="00192D5D">
        <w:rPr>
          <w:b/>
          <w:bCs/>
          <w:i/>
          <w:iCs/>
        </w:rPr>
        <w:lastRenderedPageBreak/>
        <w:t>66</w:t>
      </w:r>
      <w:r>
        <w:rPr>
          <w:b/>
          <w:bCs/>
          <w:i/>
          <w:iCs/>
        </w:rPr>
        <w:t>1</w:t>
      </w:r>
      <w:r w:rsidRPr="00192D5D">
        <w:rPr>
          <w:b/>
          <w:bCs/>
          <w:i/>
          <w:iCs/>
        </w:rPr>
        <w:t xml:space="preserve"> Prihodi od prodaje proizvoda i robe te pruženih usluga i prihodi od donacija</w:t>
      </w:r>
      <w:r>
        <w:rPr>
          <w:b/>
          <w:bCs/>
          <w:i/>
          <w:iCs/>
        </w:rPr>
        <w:t xml:space="preserve"> – AOP 120</w:t>
      </w:r>
    </w:p>
    <w:p w14:paraId="5710660C" w14:textId="3F4F3FE9" w:rsidR="00192D5D" w:rsidRDefault="00192D5D" w:rsidP="00E803FB">
      <w:pPr>
        <w:pStyle w:val="Odlomakpopisa"/>
        <w:ind w:left="1"/>
        <w:jc w:val="both"/>
      </w:pPr>
      <w:r w:rsidRPr="007E4D56">
        <w:t>Prihodi od prodaje proizvoda i robe te pruženih usluga</w:t>
      </w:r>
      <w:r>
        <w:t xml:space="preserve"> priznaju se po novčanom načelu,  a odnose se na prihode od pruženih usluga koncesionarima odnosno prefakturirane troškove za vodu i električnu energiju te iznose 985.678,40 HRK.</w:t>
      </w:r>
    </w:p>
    <w:p w14:paraId="78CA0C9B" w14:textId="77777777" w:rsidR="00192D5D" w:rsidRDefault="00192D5D" w:rsidP="00E803FB">
      <w:pPr>
        <w:pStyle w:val="Odlomakpopisa"/>
        <w:ind w:left="1"/>
        <w:jc w:val="both"/>
      </w:pPr>
    </w:p>
    <w:p w14:paraId="4A834AD1" w14:textId="4CB543E9" w:rsidR="00192D5D" w:rsidRPr="00192D5D" w:rsidRDefault="00192D5D" w:rsidP="00E803FB">
      <w:pPr>
        <w:pStyle w:val="Odlomakpopisa"/>
        <w:ind w:left="1"/>
        <w:jc w:val="both"/>
        <w:rPr>
          <w:b/>
          <w:bCs/>
          <w:i/>
          <w:iCs/>
        </w:rPr>
      </w:pPr>
      <w:r w:rsidRPr="00192D5D">
        <w:rPr>
          <w:b/>
          <w:bCs/>
          <w:i/>
          <w:iCs/>
        </w:rPr>
        <w:t>67</w:t>
      </w:r>
      <w:r>
        <w:rPr>
          <w:b/>
          <w:bCs/>
          <w:i/>
          <w:iCs/>
        </w:rPr>
        <w:t>1</w:t>
      </w:r>
      <w:r w:rsidRPr="00192D5D">
        <w:rPr>
          <w:b/>
          <w:bCs/>
          <w:i/>
          <w:iCs/>
        </w:rPr>
        <w:t xml:space="preserve"> Prihodi iz nadležnog proračuna i od HZZO-a temeljem ugovornih obveza</w:t>
      </w:r>
      <w:r>
        <w:rPr>
          <w:b/>
          <w:bCs/>
          <w:i/>
          <w:iCs/>
        </w:rPr>
        <w:t xml:space="preserve"> – AOP 129</w:t>
      </w:r>
    </w:p>
    <w:p w14:paraId="72207533" w14:textId="22F49AC5" w:rsidR="00192D5D" w:rsidRDefault="00192D5D" w:rsidP="00E803FB">
      <w:pPr>
        <w:pStyle w:val="Odlomakpopisa"/>
        <w:ind w:left="1"/>
        <w:jc w:val="both"/>
      </w:pPr>
      <w:r>
        <w:t xml:space="preserve">Prihodi iz nadležnog proračuna i od HZZO-a temeljem ugovornih obveza </w:t>
      </w:r>
      <w:r w:rsidR="00C907D5">
        <w:t>odnose se na p</w:t>
      </w:r>
      <w:r w:rsidR="00C907D5" w:rsidRPr="007E4D56">
        <w:t>rihod</w:t>
      </w:r>
      <w:r w:rsidR="00C907D5">
        <w:t>e</w:t>
      </w:r>
      <w:r w:rsidR="00C907D5" w:rsidRPr="007E4D56">
        <w:t xml:space="preserve"> iz </w:t>
      </w:r>
      <w:r w:rsidR="00C907D5">
        <w:t>Državnog</w:t>
      </w:r>
      <w:r w:rsidR="00C907D5" w:rsidRPr="007E4D56">
        <w:t xml:space="preserve"> proračuna </w:t>
      </w:r>
      <w:r w:rsidR="00C907D5">
        <w:t xml:space="preserve">RH </w:t>
      </w:r>
      <w:r w:rsidR="00C907D5" w:rsidRPr="007E4D56">
        <w:t xml:space="preserve">za financiranje redovne djelatnosti </w:t>
      </w:r>
      <w:r w:rsidR="00C907D5">
        <w:t xml:space="preserve">i priznaju se </w:t>
      </w:r>
      <w:r w:rsidR="00C907D5" w:rsidRPr="00897BE4">
        <w:t>po nastanku rashoda</w:t>
      </w:r>
      <w:r w:rsidR="00C907D5">
        <w:t xml:space="preserve"> i izdataka. Ovi prihodi </w:t>
      </w:r>
      <w:r>
        <w:t>ostvareni su</w:t>
      </w:r>
      <w:r w:rsidR="00C907D5">
        <w:t xml:space="preserve"> u 2021. godini</w:t>
      </w:r>
      <w:r>
        <w:t xml:space="preserve"> u iznosu 54.261.257,86 HRK, a odnose se na prihode iz Državnog proračun RH:</w:t>
      </w:r>
    </w:p>
    <w:p w14:paraId="44080C0B" w14:textId="69C1BEB2" w:rsidR="00192D5D" w:rsidRDefault="00192D5D" w:rsidP="00E803FB">
      <w:pPr>
        <w:pStyle w:val="Odlomakpopisa"/>
        <w:numPr>
          <w:ilvl w:val="0"/>
          <w:numId w:val="22"/>
        </w:numPr>
        <w:ind w:left="721"/>
        <w:jc w:val="both"/>
      </w:pPr>
      <w:r>
        <w:t>za otplatu zajma Svjetske banke br. 7410-HR u iznosu 52.328.099,94 HRK. Sredstva iz zajma Svjetske banke br. 7410-HR iskorištena su za razvoj i unapređenje lučke infrastrukture i suprastukture u sklopu projekta Integracije trgovine i transporta.</w:t>
      </w:r>
    </w:p>
    <w:p w14:paraId="68FC2A29" w14:textId="0B5D0F66" w:rsidR="00C907D5" w:rsidRDefault="00192D5D" w:rsidP="00E803FB">
      <w:pPr>
        <w:pStyle w:val="Odlomakpopisa"/>
        <w:numPr>
          <w:ilvl w:val="0"/>
          <w:numId w:val="22"/>
        </w:numPr>
        <w:ind w:left="721"/>
        <w:jc w:val="both"/>
      </w:pPr>
      <w:r>
        <w:t xml:space="preserve">za financiranje rashoda poslovanja i rashoda za nabavu nefinancijske imovine u sklopu EU projekata čiji se rashodi najprije financiraju iz </w:t>
      </w:r>
      <w:r w:rsidR="00C907D5">
        <w:t>s</w:t>
      </w:r>
      <w:r>
        <w:t>redstava nadležnog proračuna</w:t>
      </w:r>
      <w:r w:rsidR="00C907D5">
        <w:t xml:space="preserve"> iz </w:t>
      </w:r>
      <w:r>
        <w:t>izvor</w:t>
      </w:r>
      <w:r w:rsidR="00C907D5">
        <w:t>a</w:t>
      </w:r>
      <w:r>
        <w:t xml:space="preserve"> financiranja 559</w:t>
      </w:r>
      <w:r w:rsidR="00C907D5">
        <w:t xml:space="preserve"> </w:t>
      </w:r>
      <w:r w:rsidR="00C907D5" w:rsidRPr="00C907D5">
        <w:t>Ostale refundacije iz pomoći EU</w:t>
      </w:r>
      <w:r>
        <w:t xml:space="preserve">, </w:t>
      </w:r>
      <w:r w:rsidR="00C907D5" w:rsidRPr="00C907D5">
        <w:t>a nakon odobravanja isplaćenih troškova projekta, EU sredstva se refundiraju u visini priznatih troškova</w:t>
      </w:r>
      <w:r>
        <w:t xml:space="preserve">. Proračun po primitku refundacije sredstava evidentira prihod od pomoći od međunarodnih organizacija te institucija i tijela EU, a proračunski korisnici priznaju prihod iz nadležnog proračuna u trenutku plaćanja rashoda. U 2021. godini ovi prihodi </w:t>
      </w:r>
      <w:r w:rsidR="00C907D5">
        <w:t>su ostvareni u iznosu</w:t>
      </w:r>
      <w:r>
        <w:t xml:space="preserve"> </w:t>
      </w:r>
      <w:r w:rsidR="00C907D5" w:rsidRPr="00C907D5">
        <w:t>1.933.157,92</w:t>
      </w:r>
      <w:r w:rsidR="00C907D5">
        <w:t xml:space="preserve"> </w:t>
      </w:r>
      <w:r>
        <w:t>HRK.</w:t>
      </w:r>
      <w:r w:rsidR="00C907D5">
        <w:t xml:space="preserve"> </w:t>
      </w:r>
      <w:r w:rsidR="00C907D5" w:rsidRPr="00C907D5">
        <w:t>Tečajne razlike između tečaja na dan plaćanja i dan refundacije iz EU knjiži riznica</w:t>
      </w:r>
      <w:r w:rsidR="00C907D5">
        <w:t>.</w:t>
      </w:r>
    </w:p>
    <w:p w14:paraId="1B9C7E42" w14:textId="77777777" w:rsidR="00192D5D" w:rsidRDefault="00192D5D" w:rsidP="00E803FB">
      <w:pPr>
        <w:pStyle w:val="Odlomakpopisa"/>
        <w:ind w:left="1"/>
        <w:jc w:val="both"/>
      </w:pPr>
    </w:p>
    <w:p w14:paraId="443BA508" w14:textId="6CBA86E4" w:rsidR="00192D5D" w:rsidRPr="00192D5D" w:rsidRDefault="00192D5D" w:rsidP="00E803FB">
      <w:pPr>
        <w:pStyle w:val="Odlomakpopisa"/>
        <w:ind w:left="1"/>
        <w:jc w:val="both"/>
        <w:rPr>
          <w:b/>
          <w:bCs/>
          <w:i/>
          <w:iCs/>
        </w:rPr>
      </w:pPr>
      <w:r w:rsidRPr="00192D5D">
        <w:rPr>
          <w:b/>
          <w:bCs/>
          <w:i/>
          <w:iCs/>
        </w:rPr>
        <w:t>68</w:t>
      </w:r>
      <w:r w:rsidR="00CF101B">
        <w:rPr>
          <w:b/>
          <w:bCs/>
          <w:i/>
          <w:iCs/>
        </w:rPr>
        <w:t>1</w:t>
      </w:r>
      <w:r w:rsidRPr="00192D5D">
        <w:rPr>
          <w:b/>
          <w:bCs/>
          <w:i/>
          <w:iCs/>
        </w:rPr>
        <w:t xml:space="preserve"> Kazne, upravne mjere i ostali prihodi</w:t>
      </w:r>
      <w:r w:rsidR="00CF101B">
        <w:rPr>
          <w:b/>
          <w:bCs/>
          <w:i/>
          <w:iCs/>
        </w:rPr>
        <w:t xml:space="preserve"> – AOP 135</w:t>
      </w:r>
    </w:p>
    <w:p w14:paraId="3F36F26E" w14:textId="02465835" w:rsidR="00192D5D" w:rsidRDefault="00192D5D" w:rsidP="00E803FB">
      <w:pPr>
        <w:pStyle w:val="Odlomakpopisa"/>
        <w:ind w:left="1"/>
        <w:jc w:val="both"/>
      </w:pPr>
      <w:r>
        <w:t>Prihodi od k</w:t>
      </w:r>
      <w:r w:rsidRPr="00A75286">
        <w:t>azn</w:t>
      </w:r>
      <w:r>
        <w:t>i</w:t>
      </w:r>
      <w:r w:rsidRPr="00A75286">
        <w:t>, upravn</w:t>
      </w:r>
      <w:r>
        <w:t>ih</w:t>
      </w:r>
      <w:r w:rsidRPr="00A75286">
        <w:t xml:space="preserve"> mjer</w:t>
      </w:r>
      <w:r>
        <w:t>a</w:t>
      </w:r>
      <w:r w:rsidRPr="00A75286">
        <w:t xml:space="preserve"> i ostali</w:t>
      </w:r>
      <w:r>
        <w:t xml:space="preserve">h </w:t>
      </w:r>
      <w:r w:rsidRPr="00A75286">
        <w:t>prihod</w:t>
      </w:r>
      <w:r>
        <w:t xml:space="preserve">a </w:t>
      </w:r>
      <w:r w:rsidR="00C84A17">
        <w:t xml:space="preserve">priznaju se po naplati. Ovi prihodi su u 2021. godini ostvareni u iznosu 52.718,00 HRK, a </w:t>
      </w:r>
      <w:r>
        <w:t>najvećih dijelom se odnose na prihode od izvansudske nagodbe iz postupka</w:t>
      </w:r>
      <w:r w:rsidRPr="00353B46">
        <w:t xml:space="preserve"> između Luka Ploče gradnja d.o.o. kao tužitelja protiv tuženika 1. Luka Ploče -Ploče </w:t>
      </w:r>
      <w:r>
        <w:t>i</w:t>
      </w:r>
      <w:r w:rsidRPr="00353B46">
        <w:t xml:space="preserve"> 2</w:t>
      </w:r>
      <w:r>
        <w:t>.</w:t>
      </w:r>
      <w:r w:rsidRPr="00353B46">
        <w:t xml:space="preserve"> Lučke Uprave Ploče koji se vodio pred Trgovačkim sudom u Splitu.</w:t>
      </w:r>
    </w:p>
    <w:p w14:paraId="5FB293BD" w14:textId="77777777" w:rsidR="00FB5522" w:rsidRDefault="00FB5522" w:rsidP="00192D5D">
      <w:pPr>
        <w:pStyle w:val="Odlomakpopisa"/>
        <w:ind w:left="360"/>
        <w:jc w:val="both"/>
      </w:pPr>
    </w:p>
    <w:p w14:paraId="18FB5469" w14:textId="09B620AF" w:rsidR="00FB5522" w:rsidRDefault="00FB5522" w:rsidP="00FB5522">
      <w:pPr>
        <w:pStyle w:val="Odlomakpopisa"/>
        <w:numPr>
          <w:ilvl w:val="0"/>
          <w:numId w:val="24"/>
        </w:numPr>
        <w:jc w:val="both"/>
        <w:rPr>
          <w:b/>
          <w:bCs/>
        </w:rPr>
      </w:pPr>
      <w:r w:rsidRPr="00FB5522">
        <w:rPr>
          <w:b/>
          <w:bCs/>
        </w:rPr>
        <w:t xml:space="preserve">PRIHODI OD </w:t>
      </w:r>
      <w:r>
        <w:rPr>
          <w:b/>
          <w:bCs/>
        </w:rPr>
        <w:t xml:space="preserve">PRODAJE </w:t>
      </w:r>
      <w:r w:rsidRPr="00FB5522">
        <w:rPr>
          <w:b/>
          <w:bCs/>
        </w:rPr>
        <w:t xml:space="preserve">NEFINANCIJSKE IMOVINE </w:t>
      </w:r>
      <w:r w:rsidR="008C2871">
        <w:rPr>
          <w:b/>
          <w:bCs/>
        </w:rPr>
        <w:t>– AOP 292</w:t>
      </w:r>
    </w:p>
    <w:p w14:paraId="1B2AFFD3" w14:textId="77777777" w:rsidR="00FB5522" w:rsidRDefault="00FB5522" w:rsidP="00FB5522">
      <w:pPr>
        <w:pStyle w:val="Odlomakpopisa"/>
        <w:ind w:left="360"/>
        <w:jc w:val="both"/>
        <w:rPr>
          <w:b/>
          <w:bCs/>
        </w:rPr>
      </w:pPr>
    </w:p>
    <w:p w14:paraId="3F281B49" w14:textId="32185591" w:rsidR="00FB5522" w:rsidRPr="00FB5522" w:rsidRDefault="00FB5522" w:rsidP="00E803FB">
      <w:pPr>
        <w:pStyle w:val="Odlomakpopisa"/>
        <w:spacing w:after="0"/>
        <w:ind w:left="0"/>
        <w:jc w:val="both"/>
        <w:rPr>
          <w:b/>
          <w:bCs/>
          <w:i/>
          <w:iCs/>
        </w:rPr>
      </w:pPr>
      <w:r w:rsidRPr="00FB5522">
        <w:rPr>
          <w:b/>
          <w:bCs/>
          <w:i/>
          <w:iCs/>
        </w:rPr>
        <w:t>722 Prihodi od prodaje postrojenja i opreme – AOP 311</w:t>
      </w:r>
    </w:p>
    <w:p w14:paraId="7CE1ECCC" w14:textId="5C66855C" w:rsidR="00FB5522" w:rsidRDefault="00FB5522" w:rsidP="00E803FB">
      <w:pPr>
        <w:ind w:left="3"/>
        <w:jc w:val="both"/>
      </w:pPr>
      <w:r>
        <w:t>Prihodi od prodaje nefinancijske imovine ostvareni su u 2021 godini u iznosu 170.099,00 HRK, priznaju se po naplati,  a odnose se na prihod od prodaje rashodovanih starih lučkih dizalica koje više nisu u uporabi (2 komada). Sredstva iz ovih prihoda utrošena su na tekuće i investicijsko održavanje lučke infrastukture i suprastukture.</w:t>
      </w:r>
    </w:p>
    <w:p w14:paraId="34D1FF77" w14:textId="77777777" w:rsidR="008C2871" w:rsidRDefault="008C2871" w:rsidP="008C2871">
      <w:pPr>
        <w:jc w:val="center"/>
        <w:rPr>
          <w:b/>
          <w:bCs/>
        </w:rPr>
      </w:pPr>
    </w:p>
    <w:p w14:paraId="44A4219C" w14:textId="77777777" w:rsidR="008C2871" w:rsidRDefault="008C2871">
      <w:pPr>
        <w:rPr>
          <w:b/>
          <w:bCs/>
        </w:rPr>
      </w:pPr>
      <w:r>
        <w:rPr>
          <w:b/>
          <w:bCs/>
        </w:rPr>
        <w:br w:type="page"/>
      </w:r>
    </w:p>
    <w:p w14:paraId="2B33DE0F" w14:textId="71D1A850" w:rsidR="00EE205F" w:rsidRDefault="00FB5522" w:rsidP="008C2871">
      <w:pPr>
        <w:jc w:val="center"/>
        <w:rPr>
          <w:b/>
          <w:bCs/>
        </w:rPr>
      </w:pPr>
      <w:r>
        <w:rPr>
          <w:b/>
          <w:bCs/>
        </w:rPr>
        <w:lastRenderedPageBreak/>
        <w:t>R</w:t>
      </w:r>
      <w:r w:rsidR="00EE205F" w:rsidRPr="00192D5D">
        <w:rPr>
          <w:b/>
          <w:bCs/>
        </w:rPr>
        <w:t>ASHODI</w:t>
      </w:r>
      <w:r w:rsidR="00E803FB">
        <w:rPr>
          <w:b/>
          <w:bCs/>
        </w:rPr>
        <w:t xml:space="preserve"> I IZDACI</w:t>
      </w:r>
    </w:p>
    <w:p w14:paraId="5F4ACB28" w14:textId="77777777" w:rsidR="00FB5522" w:rsidRDefault="00FB5522" w:rsidP="00FB5522">
      <w:pPr>
        <w:jc w:val="both"/>
      </w:pPr>
      <w:r w:rsidRPr="0018024B">
        <w:t>Rashodi obuhvaćaju rezultate transakcija koje utječu na smanjenje neto vrijednosti</w:t>
      </w:r>
      <w:r>
        <w:t>, a priznaju u izvještajnom razdoblju na koje se odnose neovisno o plaćanju, te obuhvaćaju rashode poslovanja (materijalni rashodi, financijski rashodi i tekuće donacije),  rashode za nabavu nefinancijske imovine i izdatke</w:t>
      </w:r>
      <w:r w:rsidRPr="005B14A3">
        <w:t xml:space="preserve"> za otplat</w:t>
      </w:r>
      <w:r>
        <w:t>u</w:t>
      </w:r>
      <w:r w:rsidRPr="005B14A3">
        <w:t xml:space="preserve"> zajmova</w:t>
      </w:r>
      <w:r>
        <w:t xml:space="preserve"> i kredita.</w:t>
      </w:r>
      <w:r w:rsidRPr="00FB5522">
        <w:t xml:space="preserve"> </w:t>
      </w:r>
    </w:p>
    <w:p w14:paraId="13095494" w14:textId="5EA44729" w:rsidR="00FB5522" w:rsidRDefault="00FB5522" w:rsidP="00FB5522">
      <w:pPr>
        <w:jc w:val="both"/>
      </w:pPr>
      <w:r>
        <w:t xml:space="preserve">Negativne tečajne razlike </w:t>
      </w:r>
      <w:r w:rsidRPr="0015033A">
        <w:t>i razlike zbog primjene valutne klauzule</w:t>
      </w:r>
      <w:r>
        <w:t xml:space="preserve"> priznaju se kao rashod razdoblja, a evidentiraju se kada dođe do promjene u valutnom tečaju između datuma transakcije i datuma podmirenja stavki proizašlih iz transakcije,</w:t>
      </w:r>
    </w:p>
    <w:p w14:paraId="05678286" w14:textId="3AAB3C73" w:rsidR="00CF101B" w:rsidRDefault="00CF101B" w:rsidP="00192D5D">
      <w:pPr>
        <w:jc w:val="both"/>
        <w:rPr>
          <w:b/>
          <w:bCs/>
        </w:rPr>
      </w:pPr>
      <w:r>
        <w:rPr>
          <w:b/>
          <w:bCs/>
        </w:rPr>
        <w:t>3 RASHODI POSLOVANJA – AOP 146</w:t>
      </w:r>
    </w:p>
    <w:p w14:paraId="563AD6C0" w14:textId="6EED7DFA" w:rsidR="00CF101B" w:rsidRDefault="00CF101B" w:rsidP="00192D5D">
      <w:pPr>
        <w:jc w:val="both"/>
      </w:pPr>
      <w:r w:rsidRPr="00CF101B">
        <w:t xml:space="preserve">U 2021. godini </w:t>
      </w:r>
      <w:r>
        <w:t>rashodi</w:t>
      </w:r>
      <w:r w:rsidRPr="00CF101B">
        <w:t xml:space="preserve"> poslovanja ostvareni su u iznosu od </w:t>
      </w:r>
      <w:r w:rsidR="00FB5522">
        <w:t>19.510.664,00</w:t>
      </w:r>
      <w:r w:rsidRPr="00CF101B">
        <w:t xml:space="preserve"> HRK.</w:t>
      </w:r>
    </w:p>
    <w:p w14:paraId="2B629134" w14:textId="4682EFE6" w:rsidR="00FB5522" w:rsidRPr="00EF6874" w:rsidRDefault="00FB5522" w:rsidP="00FB5522">
      <w:pPr>
        <w:pStyle w:val="Odlomakpopisa"/>
        <w:numPr>
          <w:ilvl w:val="0"/>
          <w:numId w:val="10"/>
        </w:numPr>
        <w:jc w:val="both"/>
        <w:rPr>
          <w:b/>
          <w:bCs/>
        </w:rPr>
      </w:pPr>
      <w:r w:rsidRPr="00EF6874">
        <w:rPr>
          <w:b/>
          <w:bCs/>
        </w:rPr>
        <w:t>Rashodi za zaposlene</w:t>
      </w:r>
      <w:r w:rsidR="007860F8">
        <w:rPr>
          <w:b/>
          <w:bCs/>
        </w:rPr>
        <w:t xml:space="preserve">  - AOP 147</w:t>
      </w:r>
    </w:p>
    <w:p w14:paraId="7F6941C4" w14:textId="58F16360" w:rsidR="00FB5522" w:rsidRDefault="00FB5522" w:rsidP="00FB5522">
      <w:pPr>
        <w:jc w:val="both"/>
      </w:pPr>
      <w:r>
        <w:t>Rashodi za zaposlene</w:t>
      </w:r>
      <w:r w:rsidR="007860F8">
        <w:t xml:space="preserve"> iznose 6.044.180,34 HRK, a</w:t>
      </w:r>
      <w:r>
        <w:t xml:space="preserve"> sadrže rashode za u</w:t>
      </w:r>
      <w:r w:rsidRPr="00C2771C">
        <w:t>kupno isplaćene plaće, porez, prirez i doprinosi iz i na plaće</w:t>
      </w:r>
      <w:r>
        <w:t xml:space="preserve"> te ostale rashodi za zaposlene </w:t>
      </w:r>
      <w:r w:rsidRPr="007860F8">
        <w:t>(nagrade, darovi, regres za godišnji odmor, otpremnine te naknade za bolest, invalidnost i smrtni slučaj i ostale naknade).</w:t>
      </w:r>
      <w:r>
        <w:t xml:space="preserve"> </w:t>
      </w:r>
      <w:r w:rsidRPr="007860F8">
        <w:t>Stanje zaposlenika na početku izvještajnog razdoblja je bilo 35, a na kraju izvještajnog razdoblja 34. U</w:t>
      </w:r>
      <w:r>
        <w:t xml:space="preserve"> strukturi zaposlenih je više od 50% zaposlenika sa visokom stručnom spremom. Dio rashoda za zaposlene se sufinancirao iz sredstava iz EU pomoći, a radi se o iznosu od </w:t>
      </w:r>
      <w:r w:rsidR="007860F8">
        <w:t>263.566,81</w:t>
      </w:r>
      <w:r>
        <w:t xml:space="preserve"> HRK.</w:t>
      </w:r>
    </w:p>
    <w:p w14:paraId="040D0028" w14:textId="572BE455" w:rsidR="00FB5522" w:rsidRPr="001C68C1" w:rsidRDefault="00FB5522" w:rsidP="00FB5522">
      <w:pPr>
        <w:pStyle w:val="Odlomakpopisa"/>
        <w:numPr>
          <w:ilvl w:val="0"/>
          <w:numId w:val="10"/>
        </w:numPr>
        <w:jc w:val="both"/>
        <w:rPr>
          <w:b/>
          <w:bCs/>
        </w:rPr>
      </w:pPr>
      <w:r w:rsidRPr="001C68C1">
        <w:rPr>
          <w:b/>
          <w:bCs/>
        </w:rPr>
        <w:t>Materijalni rashodi</w:t>
      </w:r>
      <w:r w:rsidR="00895A87">
        <w:rPr>
          <w:b/>
          <w:bCs/>
        </w:rPr>
        <w:t xml:space="preserve"> – AOP 158</w:t>
      </w:r>
    </w:p>
    <w:p w14:paraId="01CBAD11" w14:textId="17E1D920" w:rsidR="00FB5522" w:rsidRDefault="00FB5522" w:rsidP="00FB5522">
      <w:pPr>
        <w:jc w:val="both"/>
      </w:pPr>
      <w:r>
        <w:t xml:space="preserve">Materijalni rashodi </w:t>
      </w:r>
      <w:r w:rsidR="00895A87">
        <w:t xml:space="preserve">u 2021. godini ostvareni su u iznosu  10.747.447,33 HRK, a </w:t>
      </w:r>
      <w:r>
        <w:t xml:space="preserve">odnose se na rashode za redovnu djelatnost i obuhvaćaju troškove korištenja usluga i dobara potrebnih za redovno funkcioniranje i obavljanje djelatnosti. Najznačajniji su rashodi za tekuće i investicijsko održavanje koji su ostvareni u iznosu </w:t>
      </w:r>
      <w:r w:rsidR="00895A87">
        <w:t>2.789.486,38</w:t>
      </w:r>
      <w:r>
        <w:t xml:space="preserve"> HRK, zatim slijede usluge čuvanja imovine i osoba u iznosu 2.156.616,85 HRK, opskrbu električnom energijom i vodom u iznosu </w:t>
      </w:r>
      <w:r w:rsidR="00895A87" w:rsidRPr="00895A87">
        <w:t>1.716.538,28</w:t>
      </w:r>
      <w:r w:rsidR="00895A87">
        <w:t xml:space="preserve"> </w:t>
      </w:r>
      <w:r>
        <w:t xml:space="preserve">HRK, od čega se iznos od </w:t>
      </w:r>
      <w:r w:rsidR="00197C60">
        <w:t>951.375,25</w:t>
      </w:r>
      <w:r>
        <w:t xml:space="preserve"> HRK perfektuirao koncesionarima, te usluge zaštite od požara osoba i imovine u iznosu 1.076.682,50 HRK. </w:t>
      </w:r>
    </w:p>
    <w:p w14:paraId="7DBB10EE" w14:textId="73567421" w:rsidR="00FB5522" w:rsidRPr="007E781A" w:rsidRDefault="00FB5522" w:rsidP="00FB5522">
      <w:pPr>
        <w:jc w:val="both"/>
        <w:rPr>
          <w:b/>
          <w:bCs/>
        </w:rPr>
      </w:pPr>
      <w:r>
        <w:rPr>
          <w:b/>
          <w:bCs/>
        </w:rPr>
        <w:t xml:space="preserve">34 </w:t>
      </w:r>
      <w:r w:rsidRPr="007E781A">
        <w:rPr>
          <w:b/>
          <w:bCs/>
        </w:rPr>
        <w:t>Financijski rashodi</w:t>
      </w:r>
      <w:r w:rsidR="00197C60">
        <w:rPr>
          <w:b/>
          <w:bCs/>
        </w:rPr>
        <w:t xml:space="preserve"> – AOP 191</w:t>
      </w:r>
    </w:p>
    <w:p w14:paraId="0C857DAB" w14:textId="3B9316AF" w:rsidR="00FB5522" w:rsidRPr="006B3763" w:rsidRDefault="00FB5522" w:rsidP="00FB5522">
      <w:pPr>
        <w:jc w:val="both"/>
      </w:pPr>
      <w:r>
        <w:t xml:space="preserve">U strukturi financijskih rashoda </w:t>
      </w:r>
      <w:r w:rsidR="00197C60">
        <w:t xml:space="preserve">ostvarenih u 2021. godini </w:t>
      </w:r>
      <w:r>
        <w:t xml:space="preserve">u iznosu </w:t>
      </w:r>
      <w:r w:rsidR="00197C60">
        <w:t>2.677.036,33</w:t>
      </w:r>
      <w:r>
        <w:t xml:space="preserve"> HRK, najzastupljeniji su rashod za </w:t>
      </w:r>
      <w:r w:rsidRPr="006B3763">
        <w:t xml:space="preserve">negativne tečajne razlike u iznosu </w:t>
      </w:r>
      <w:r w:rsidR="00197C60">
        <w:t>1.804.594,03</w:t>
      </w:r>
      <w:r w:rsidRPr="006B3763">
        <w:t xml:space="preserve"> HRK </w:t>
      </w:r>
      <w:r>
        <w:t>koje se najvećim dijelom odnose na realizirane tečajne razlike po otplati Zajma Svjetske banke br. 7410-HR (razlika između povijesnog tečaja i tečaja na datum transakcije u riznici) te rashodi za kamate na zajam Svjetske banke br. 8077-HR u iznos 827.640,59 HRK koji se financiraju iz izvora 43</w:t>
      </w:r>
      <w:r w:rsidR="00197C60">
        <w:t xml:space="preserve"> </w:t>
      </w:r>
      <w:r w:rsidR="00197C60" w:rsidRPr="00197C60">
        <w:t>Ostali prihodi za posebne namjene</w:t>
      </w:r>
      <w:r>
        <w:t>.</w:t>
      </w:r>
    </w:p>
    <w:p w14:paraId="7832AF42" w14:textId="36BBC24C" w:rsidR="00FB5522" w:rsidRPr="007E781A" w:rsidRDefault="00FB5522" w:rsidP="00FB5522">
      <w:pPr>
        <w:pStyle w:val="Odlomakpopisa"/>
        <w:numPr>
          <w:ilvl w:val="0"/>
          <w:numId w:val="11"/>
        </w:numPr>
        <w:jc w:val="both"/>
        <w:rPr>
          <w:b/>
          <w:bCs/>
        </w:rPr>
      </w:pPr>
      <w:r>
        <w:rPr>
          <w:b/>
          <w:bCs/>
        </w:rPr>
        <w:t>O</w:t>
      </w:r>
      <w:r w:rsidRPr="007E781A">
        <w:rPr>
          <w:b/>
          <w:bCs/>
        </w:rPr>
        <w:t>stali rashodi</w:t>
      </w:r>
      <w:r w:rsidR="00197C60">
        <w:rPr>
          <w:b/>
          <w:bCs/>
        </w:rPr>
        <w:t xml:space="preserve"> – AOP 258</w:t>
      </w:r>
    </w:p>
    <w:p w14:paraId="4B7A6246" w14:textId="0209BE69" w:rsidR="00FB5522" w:rsidRDefault="00FB5522" w:rsidP="00FB5522">
      <w:pPr>
        <w:jc w:val="both"/>
      </w:pPr>
      <w:r w:rsidRPr="00197C60">
        <w:t xml:space="preserve">Ostali rashodi odnose se na tekuće donacije udrugama i vjerskim zajednicama u iznosu </w:t>
      </w:r>
      <w:r w:rsidR="00197C60" w:rsidRPr="00197C60">
        <w:t>42.000</w:t>
      </w:r>
      <w:r w:rsidRPr="00197C60">
        <w:t>,00 HRK.</w:t>
      </w:r>
    </w:p>
    <w:p w14:paraId="3118F577" w14:textId="50F051C2" w:rsidR="00FB5522" w:rsidRDefault="00FB5522" w:rsidP="00FB5522">
      <w:pPr>
        <w:jc w:val="both"/>
      </w:pPr>
    </w:p>
    <w:p w14:paraId="2E7D60CF" w14:textId="77777777" w:rsidR="00E803FB" w:rsidRDefault="00E803FB" w:rsidP="00FB5522">
      <w:pPr>
        <w:jc w:val="both"/>
      </w:pPr>
    </w:p>
    <w:p w14:paraId="258DAE7F" w14:textId="168237DC" w:rsidR="00FB5522" w:rsidRPr="00503347" w:rsidRDefault="00FB5522" w:rsidP="00FB5522">
      <w:pPr>
        <w:jc w:val="both"/>
        <w:rPr>
          <w:b/>
          <w:bCs/>
        </w:rPr>
      </w:pPr>
      <w:r w:rsidRPr="00503347">
        <w:rPr>
          <w:b/>
          <w:bCs/>
        </w:rPr>
        <w:lastRenderedPageBreak/>
        <w:t>4 RASHODI ZA NABAVU NEFINANCIJSKE IMOVINE</w:t>
      </w:r>
      <w:r w:rsidR="00197C60">
        <w:rPr>
          <w:b/>
          <w:bCs/>
        </w:rPr>
        <w:t xml:space="preserve"> – AOP 344</w:t>
      </w:r>
    </w:p>
    <w:p w14:paraId="266FD406" w14:textId="027EB4BB" w:rsidR="00197C60" w:rsidRPr="00197C60" w:rsidRDefault="00197C60" w:rsidP="00FB5522">
      <w:pPr>
        <w:jc w:val="both"/>
      </w:pPr>
      <w:r>
        <w:t xml:space="preserve">Rashodi za nabavu nefinancijske imovine u 2021. godini ostvareni su u iznosu </w:t>
      </w:r>
      <w:r w:rsidR="00C45100">
        <w:t xml:space="preserve">9.588.467,18 HRK, a </w:t>
      </w:r>
      <w:r w:rsidR="00C45100" w:rsidRPr="00C45100">
        <w:t>priznaju se u trenutku nabave i u visini njene nabavne vrijednosti</w:t>
      </w:r>
      <w:r w:rsidR="00C45100">
        <w:t>.</w:t>
      </w:r>
    </w:p>
    <w:p w14:paraId="5AEDC344" w14:textId="6FF85F60" w:rsidR="00197C60" w:rsidRDefault="00197C60" w:rsidP="00FB5522">
      <w:pPr>
        <w:jc w:val="both"/>
        <w:rPr>
          <w:b/>
          <w:bCs/>
        </w:rPr>
      </w:pPr>
      <w:r>
        <w:rPr>
          <w:b/>
          <w:bCs/>
        </w:rPr>
        <w:t>41 Rashodi za nabavu neproizvedene dugotrajne imovine – AOP 345</w:t>
      </w:r>
    </w:p>
    <w:p w14:paraId="1258B3DA" w14:textId="778F6647" w:rsidR="00197C60" w:rsidRPr="00C45100" w:rsidRDefault="00C45100" w:rsidP="00FB5522">
      <w:pPr>
        <w:jc w:val="both"/>
      </w:pPr>
      <w:r>
        <w:t xml:space="preserve">Rashodi za </w:t>
      </w:r>
      <w:r w:rsidRPr="00C45100">
        <w:t>nabavu neproizvedene dugotrajne imovine</w:t>
      </w:r>
      <w:r>
        <w:t xml:space="preserve"> ostvareni su u iznosu 148.500,00 HRK,  a odnose se na rashode za izradu dokumenta </w:t>
      </w:r>
      <w:r w:rsidRPr="00C45100">
        <w:t>Plan</w:t>
      </w:r>
      <w:r>
        <w:t>a</w:t>
      </w:r>
      <w:r w:rsidRPr="00C45100">
        <w:t xml:space="preserve"> sigurnosne zaštite L</w:t>
      </w:r>
      <w:r>
        <w:t xml:space="preserve">uke Ploče. </w:t>
      </w:r>
    </w:p>
    <w:p w14:paraId="476C16ED" w14:textId="74C197D0" w:rsidR="00FB5522" w:rsidRDefault="00FB5522" w:rsidP="00FB5522">
      <w:pPr>
        <w:jc w:val="both"/>
        <w:rPr>
          <w:b/>
          <w:bCs/>
        </w:rPr>
      </w:pPr>
      <w:r w:rsidRPr="00503347">
        <w:rPr>
          <w:b/>
          <w:bCs/>
        </w:rPr>
        <w:t>42 Rashodi za nabavu proizvedene dugotrajne imovine</w:t>
      </w:r>
      <w:r w:rsidR="00197C60">
        <w:rPr>
          <w:b/>
          <w:bCs/>
        </w:rPr>
        <w:t xml:space="preserve"> – AOP </w:t>
      </w:r>
      <w:r w:rsidR="00C45100">
        <w:rPr>
          <w:b/>
          <w:bCs/>
        </w:rPr>
        <w:t>357</w:t>
      </w:r>
    </w:p>
    <w:p w14:paraId="18B8654E" w14:textId="77777777" w:rsidR="00FB5522" w:rsidRPr="007E781A" w:rsidRDefault="00FB5522" w:rsidP="00FB5522">
      <w:pPr>
        <w:jc w:val="both"/>
      </w:pPr>
      <w:r>
        <w:t>Ulaganja u nabavu dugotrajne imovine u 2021. godini iznose 1.328.121,37 HRK. Najznačajniji u strukturi su rashodi utrošeni na i</w:t>
      </w:r>
      <w:r w:rsidRPr="007E781A">
        <w:t>zrad</w:t>
      </w:r>
      <w:r>
        <w:t>u</w:t>
      </w:r>
      <w:r w:rsidRPr="007E781A">
        <w:t xml:space="preserve"> projektne dokumentacije  i ishođenje dozvole za vez za naftne derivate</w:t>
      </w:r>
      <w:r>
        <w:t>, nabavu zaštitne brane za zaštitu mora od onečišćenja koja je sufinancirana iz EU pomoći u visini 85%, te razvoj poslovnih informacijskih sustava od čega je 68.48% sufinancirano iz EU pomoći.</w:t>
      </w:r>
    </w:p>
    <w:p w14:paraId="751327B1" w14:textId="5D48CF90" w:rsidR="00FB5522" w:rsidRDefault="00FB5522" w:rsidP="00FB5522">
      <w:pPr>
        <w:jc w:val="both"/>
        <w:rPr>
          <w:b/>
          <w:bCs/>
        </w:rPr>
      </w:pPr>
      <w:r>
        <w:rPr>
          <w:b/>
          <w:bCs/>
        </w:rPr>
        <w:t xml:space="preserve">45 </w:t>
      </w:r>
      <w:r w:rsidRPr="00503347">
        <w:rPr>
          <w:b/>
          <w:bCs/>
        </w:rPr>
        <w:t>Rashodi za dodatna ulaganja na</w:t>
      </w:r>
      <w:r>
        <w:rPr>
          <w:b/>
          <w:bCs/>
        </w:rPr>
        <w:t xml:space="preserve"> </w:t>
      </w:r>
      <w:r w:rsidRPr="00503347">
        <w:rPr>
          <w:b/>
          <w:bCs/>
        </w:rPr>
        <w:t>nefinancijskoj imovini</w:t>
      </w:r>
      <w:r w:rsidR="008C2871">
        <w:rPr>
          <w:b/>
          <w:bCs/>
        </w:rPr>
        <w:t xml:space="preserve"> – AOP 396</w:t>
      </w:r>
    </w:p>
    <w:p w14:paraId="7AE6A0A4" w14:textId="58640392" w:rsidR="00FB5522" w:rsidRPr="00B02354" w:rsidRDefault="00FB5522" w:rsidP="00FB5522">
      <w:pPr>
        <w:jc w:val="both"/>
      </w:pPr>
      <w:r>
        <w:t>Dodatna u</w:t>
      </w:r>
      <w:r w:rsidRPr="00B02354">
        <w:t xml:space="preserve">laganja </w:t>
      </w:r>
      <w:r>
        <w:t xml:space="preserve">na nefinancijskoj imovini u 2021. godini iznose 8.111.845,81 HRK. Najznačajniji u strukturi ovih rashoda su rashodi za </w:t>
      </w:r>
      <w:r w:rsidR="008C2871">
        <w:t xml:space="preserve">jaružanje na Terminalu rasutih tereta, </w:t>
      </w:r>
      <w:r>
        <w:t>p</w:t>
      </w:r>
      <w:r w:rsidRPr="00B02354">
        <w:t>rilagodb</w:t>
      </w:r>
      <w:r>
        <w:t>u</w:t>
      </w:r>
      <w:r w:rsidRPr="00B02354">
        <w:t xml:space="preserve"> energetskog raspleta na novi naponski nivo 20 kV</w:t>
      </w:r>
      <w:r>
        <w:t xml:space="preserve">, zamjenu skretnice br. 54, uređenje prostorija na Ulaznom terminalu za potrebe carine i policije, te postavljanje LED rasvjete na postojećim stupovima od čega je 545.745,69 HRK sufinancirano iz sredstava EU pomoći. </w:t>
      </w:r>
    </w:p>
    <w:p w14:paraId="2E63D694" w14:textId="1DC3D1F6" w:rsidR="00FB5522" w:rsidRPr="008C2871" w:rsidRDefault="00FB5522" w:rsidP="008C2871">
      <w:pPr>
        <w:pStyle w:val="Odlomakpopisa"/>
        <w:numPr>
          <w:ilvl w:val="0"/>
          <w:numId w:val="26"/>
        </w:numPr>
        <w:jc w:val="both"/>
        <w:rPr>
          <w:b/>
          <w:bCs/>
        </w:rPr>
      </w:pPr>
      <w:r w:rsidRPr="008C2871">
        <w:rPr>
          <w:b/>
          <w:bCs/>
        </w:rPr>
        <w:t>Izdaci za financijsku imovinu i otplate zajmova</w:t>
      </w:r>
      <w:r w:rsidR="008C2871">
        <w:rPr>
          <w:b/>
          <w:bCs/>
        </w:rPr>
        <w:t xml:space="preserve"> – AOP 521</w:t>
      </w:r>
    </w:p>
    <w:p w14:paraId="472BB139" w14:textId="5EE76F85" w:rsidR="00FB5522" w:rsidRDefault="00FB5522" w:rsidP="00FB5522">
      <w:pPr>
        <w:jc w:val="both"/>
      </w:pPr>
      <w:r>
        <w:t>Izdaci za financijsku imovinu i otplate zajmova iznose 52.088.758,56 HRK, a odnose se na izdatke za otplatu glavnice dugoročnog zajma Svjetske banke br. 7410HR u iznosu 52.581.378,96 HRK. Sredstva iz ovog zajma utrošena su za provedbu Projekta Integracije trgovine i transporta. Ovaj izdatak podmiren je iz sredstava osiguranih u Državnom proračunu RH iz izvora financiranja 11</w:t>
      </w:r>
      <w:r w:rsidRPr="009744B0">
        <w:t xml:space="preserve"> </w:t>
      </w:r>
      <w:r>
        <w:t>Opći prihodi i primici. Preostali iznos odnosi se na konačnu otplatu kratkoročnog kredita RBA banke iz 2020. godine (do 12 mjeseci) u iznosu 1.507. 379,60 HRK koji je Lučka uprava Ploče ugovorila radi osiguranja likvidnosti u 2020. Ova obveza podmirena je izvora financiranja 43</w:t>
      </w:r>
      <w:r w:rsidR="008C2871">
        <w:t xml:space="preserve"> </w:t>
      </w:r>
      <w:r w:rsidR="008C2871" w:rsidRPr="008C2871">
        <w:t>Ostali prihodi za posebne namjene</w:t>
      </w:r>
      <w:r>
        <w:t xml:space="preserve">. </w:t>
      </w:r>
      <w:r w:rsidRPr="00021C9E">
        <w:t>Budući da su obveze bile iskazane u stranoj valuti, za izračun tečajnih razlika i priznavanje izdataka korišten je povijesni tečaj obveze i srednji tečaj na datum transakcije u riznici.</w:t>
      </w:r>
      <w:r>
        <w:t xml:space="preserve"> </w:t>
      </w:r>
      <w:r w:rsidRPr="00636FDA">
        <w:t xml:space="preserve"> </w:t>
      </w:r>
    </w:p>
    <w:p w14:paraId="2806E3EC" w14:textId="77777777" w:rsidR="00FB5522" w:rsidRPr="00CF101B" w:rsidRDefault="00FB5522" w:rsidP="00192D5D">
      <w:pPr>
        <w:jc w:val="both"/>
      </w:pPr>
    </w:p>
    <w:p w14:paraId="46517789" w14:textId="77777777" w:rsidR="00EE205F" w:rsidRPr="00702880" w:rsidRDefault="00EE205F" w:rsidP="00EE205F">
      <w:pPr>
        <w:jc w:val="both"/>
      </w:pPr>
    </w:p>
    <w:p w14:paraId="28DD2A8A" w14:textId="77777777" w:rsidR="00A75286" w:rsidRDefault="00A75286" w:rsidP="00EE205F">
      <w:pPr>
        <w:jc w:val="both"/>
        <w:rPr>
          <w:b/>
          <w:bCs/>
        </w:rPr>
      </w:pPr>
    </w:p>
    <w:p w14:paraId="54F1D2C4" w14:textId="77777777" w:rsidR="00353B46" w:rsidRDefault="00353B46" w:rsidP="00EE205F">
      <w:pPr>
        <w:jc w:val="both"/>
      </w:pPr>
      <w:bookmarkStart w:id="0" w:name="_Hlk94266149"/>
    </w:p>
    <w:bookmarkEnd w:id="0"/>
    <w:p w14:paraId="24DCB6D9" w14:textId="66D18E4B" w:rsidR="00C2771C" w:rsidRDefault="00C2771C" w:rsidP="00EE205F">
      <w:pPr>
        <w:jc w:val="both"/>
      </w:pPr>
    </w:p>
    <w:p w14:paraId="1EE09E76" w14:textId="77777777" w:rsidR="0001325C" w:rsidRDefault="0001325C" w:rsidP="00EE205F">
      <w:pPr>
        <w:jc w:val="both"/>
        <w:rPr>
          <w:b/>
          <w:bCs/>
        </w:rPr>
      </w:pPr>
    </w:p>
    <w:p w14:paraId="418BAA0E" w14:textId="77777777" w:rsidR="009744B0" w:rsidRDefault="009744B0" w:rsidP="00EE205F">
      <w:pPr>
        <w:jc w:val="both"/>
      </w:pPr>
    </w:p>
    <w:p w14:paraId="774B1987" w14:textId="3456288E" w:rsidR="00F1075C" w:rsidRDefault="00446DA2" w:rsidP="00E803FB">
      <w:pPr>
        <w:jc w:val="center"/>
        <w:rPr>
          <w:b/>
          <w:bCs/>
        </w:rPr>
      </w:pPr>
      <w:r>
        <w:rPr>
          <w:b/>
          <w:bCs/>
        </w:rPr>
        <w:lastRenderedPageBreak/>
        <w:t xml:space="preserve">Bilješke uz </w:t>
      </w:r>
      <w:r w:rsidR="00F1075C">
        <w:rPr>
          <w:b/>
          <w:bCs/>
        </w:rPr>
        <w:t>Bilanc</w:t>
      </w:r>
      <w:r>
        <w:rPr>
          <w:b/>
          <w:bCs/>
        </w:rPr>
        <w:t>u</w:t>
      </w:r>
    </w:p>
    <w:p w14:paraId="24BF057A" w14:textId="777124B5" w:rsidR="00EE205F" w:rsidRPr="009744B0" w:rsidRDefault="009744B0" w:rsidP="00EE205F">
      <w:pPr>
        <w:jc w:val="both"/>
      </w:pPr>
      <w:r w:rsidRPr="009744B0">
        <w:t xml:space="preserve">Bilješke uz Bilancu sadrže podatke o sudskim sporovima u tijeku (sažeti opis prirode spora, procjenu financijskog učinka koji može proisteći iz sudskog spora kao obveza ili imovina te procijenjeno vrijeme odljeva ili priljeva </w:t>
      </w:r>
      <w:r w:rsidRPr="009F7DEE">
        <w:t>sredstava) i ugovornim odnosima koji uz ispunjenje određenih uvjeta, mogu postati obveza ili imovina (dana kreditna pisma, hipoteke i slično)</w:t>
      </w:r>
      <w:r w:rsidR="00E803FB" w:rsidRPr="009F7DEE">
        <w:t>.</w:t>
      </w:r>
    </w:p>
    <w:p w14:paraId="0123D6AC" w14:textId="0007C0B4" w:rsidR="00503347" w:rsidRPr="00503347" w:rsidRDefault="00503347" w:rsidP="00FB17A6">
      <w:pPr>
        <w:jc w:val="center"/>
        <w:rPr>
          <w:b/>
          <w:bCs/>
        </w:rPr>
      </w:pPr>
      <w:r w:rsidRPr="00503347">
        <w:rPr>
          <w:b/>
          <w:bCs/>
        </w:rPr>
        <w:t>IMOVINA</w:t>
      </w:r>
    </w:p>
    <w:p w14:paraId="1A91178B" w14:textId="7D0BDF98" w:rsidR="00437789" w:rsidRDefault="00437789" w:rsidP="00437789">
      <w:pPr>
        <w:jc w:val="both"/>
      </w:pPr>
      <w:r w:rsidRPr="00674AB0">
        <w:t>Imovina jesu resursi koje kontrolira proračun odnosno proračunski korisnici kao rezultat prošlih događaja i od kojih se očekuju buduće koristi u obavljanju djelatnosti</w:t>
      </w:r>
      <w:r>
        <w:t xml:space="preserve">. </w:t>
      </w:r>
      <w:r w:rsidRPr="00674AB0">
        <w:t>Imovina se klasificira po svojoj vrsti, trajnosti i funkciji u obavljanju djelatnosti.</w:t>
      </w:r>
      <w:r>
        <w:t xml:space="preserve"> </w:t>
      </w:r>
      <w:r w:rsidR="00FB17A6">
        <w:t xml:space="preserve"> </w:t>
      </w:r>
      <w:r w:rsidR="00FB17A6" w:rsidRPr="00FB17A6">
        <w:t xml:space="preserve">Imovina </w:t>
      </w:r>
      <w:r w:rsidR="00FB17A6">
        <w:t>se</w:t>
      </w:r>
      <w:r w:rsidR="00FB17A6" w:rsidRPr="00FB17A6">
        <w:t xml:space="preserve"> iskazuj</w:t>
      </w:r>
      <w:r w:rsidR="00FB17A6">
        <w:t>e</w:t>
      </w:r>
      <w:r w:rsidR="00FB17A6" w:rsidRPr="00FB17A6">
        <w:t xml:space="preserve"> po računovodstvenom načelu nastanka događaja uz primjenu metode povijesnog troška.</w:t>
      </w:r>
    </w:p>
    <w:p w14:paraId="49585838" w14:textId="02D27076" w:rsidR="00503347" w:rsidRDefault="00503347" w:rsidP="00EE205F">
      <w:pPr>
        <w:jc w:val="both"/>
        <w:rPr>
          <w:b/>
          <w:bCs/>
        </w:rPr>
      </w:pPr>
      <w:r w:rsidRPr="00503347">
        <w:rPr>
          <w:b/>
          <w:bCs/>
        </w:rPr>
        <w:t>0 NEFINANCIJSKA IMOVINA</w:t>
      </w:r>
      <w:r w:rsidR="0094136E">
        <w:rPr>
          <w:b/>
          <w:bCs/>
        </w:rPr>
        <w:t xml:space="preserve"> – AOP 002</w:t>
      </w:r>
    </w:p>
    <w:p w14:paraId="2253E893" w14:textId="7091B6DF" w:rsidR="004D03BF" w:rsidRPr="00646DF9" w:rsidRDefault="00646DF9" w:rsidP="00EE205F">
      <w:pPr>
        <w:jc w:val="both"/>
      </w:pPr>
      <w:r>
        <w:t xml:space="preserve">Nefinancijska imovina </w:t>
      </w:r>
      <w:r w:rsidRPr="00646DF9">
        <w:t>predstavlja n</w:t>
      </w:r>
      <w:r w:rsidR="00503347" w:rsidRPr="00646DF9">
        <w:t>eproizveden</w:t>
      </w:r>
      <w:r w:rsidRPr="00646DF9">
        <w:t>u</w:t>
      </w:r>
      <w:r w:rsidR="00503347" w:rsidRPr="00646DF9">
        <w:t xml:space="preserve"> </w:t>
      </w:r>
      <w:r w:rsidRPr="00646DF9">
        <w:t xml:space="preserve">i prozivedenu </w:t>
      </w:r>
      <w:r w:rsidR="00503347" w:rsidRPr="00646DF9">
        <w:t>dugotrajn</w:t>
      </w:r>
      <w:r w:rsidRPr="00646DF9">
        <w:t>u i</w:t>
      </w:r>
      <w:r w:rsidR="00503347" w:rsidRPr="00646DF9">
        <w:t>movin</w:t>
      </w:r>
      <w:r w:rsidRPr="00646DF9">
        <w:t>u, s</w:t>
      </w:r>
      <w:r w:rsidR="004D03BF" w:rsidRPr="00646DF9">
        <w:t>itni inventar</w:t>
      </w:r>
      <w:r w:rsidRPr="00646DF9">
        <w:t xml:space="preserve"> i d</w:t>
      </w:r>
      <w:r w:rsidR="004D03BF" w:rsidRPr="00646DF9">
        <w:t>ugotrajn</w:t>
      </w:r>
      <w:r w:rsidRPr="00646DF9">
        <w:t>u</w:t>
      </w:r>
      <w:r w:rsidR="004D03BF" w:rsidRPr="00646DF9">
        <w:t xml:space="preserve"> nefinancijsk</w:t>
      </w:r>
      <w:r w:rsidRPr="00646DF9">
        <w:t>u</w:t>
      </w:r>
      <w:r w:rsidR="004D03BF" w:rsidRPr="00646DF9">
        <w:t xml:space="preserve"> imovin</w:t>
      </w:r>
      <w:r w:rsidRPr="00646DF9">
        <w:t xml:space="preserve">u </w:t>
      </w:r>
      <w:r w:rsidR="004D03BF" w:rsidRPr="00646DF9">
        <w:t>u pripremi</w:t>
      </w:r>
      <w:r w:rsidRPr="00646DF9">
        <w:t>.</w:t>
      </w:r>
    </w:p>
    <w:p w14:paraId="6D1AEAD1" w14:textId="1B40B6E2" w:rsidR="004D03BF" w:rsidRDefault="00646DF9" w:rsidP="00EE205F">
      <w:pPr>
        <w:jc w:val="both"/>
      </w:pPr>
      <w:r w:rsidRPr="00646DF9">
        <w:t>Neproi</w:t>
      </w:r>
      <w:r>
        <w:t>z</w:t>
      </w:r>
      <w:r w:rsidRPr="00646DF9">
        <w:t>vedena dugotrajna imovina odnosi se na vrijednost zemljišta</w:t>
      </w:r>
      <w:r>
        <w:t xml:space="preserve">, ulaganja u zemljište te osnivačke izdatke. Proizvedena dugotrajna imovina odnosi se na vrijednost ulaganja u građevinske objekte, lučke kanale i akvatorije, opremu, te nematerijalnu </w:t>
      </w:r>
      <w:r w:rsidR="00DD739A">
        <w:t>proizvedenu</w:t>
      </w:r>
      <w:r>
        <w:t xml:space="preserve"> imovinu (ulaganja u računalne programe </w:t>
      </w:r>
      <w:r w:rsidR="00DD739A">
        <w:t xml:space="preserve">i ostalu nematerijalnu imovinu). Nefinancijska imovina u pripremi odnosi se na vrijednost građevinskih objekata, postrojenja i opreme, te ostale nefinancijske imovine u pripremi – izgradnji. </w:t>
      </w:r>
    </w:p>
    <w:p w14:paraId="1CB4BAF8" w14:textId="709BB068" w:rsidR="00DD739A" w:rsidRDefault="00DD739A" w:rsidP="00EE205F">
      <w:pPr>
        <w:jc w:val="both"/>
      </w:pPr>
      <w:r>
        <w:t>Na dan 31.12.2021. struktura nefinancijske imovine je sljedeća:</w:t>
      </w:r>
    </w:p>
    <w:tbl>
      <w:tblPr>
        <w:tblStyle w:val="Reetkatablice"/>
        <w:tblW w:w="0" w:type="auto"/>
        <w:tblLook w:val="04A0" w:firstRow="1" w:lastRow="0" w:firstColumn="1" w:lastColumn="0" w:noHBand="0" w:noVBand="1"/>
      </w:tblPr>
      <w:tblGrid>
        <w:gridCol w:w="1803"/>
        <w:gridCol w:w="1803"/>
        <w:gridCol w:w="1803"/>
        <w:gridCol w:w="1803"/>
        <w:gridCol w:w="1804"/>
      </w:tblGrid>
      <w:tr w:rsidR="00DD739A" w:rsidRPr="00DD739A" w14:paraId="7982865D" w14:textId="77777777" w:rsidTr="00DD739A">
        <w:tc>
          <w:tcPr>
            <w:tcW w:w="1803" w:type="dxa"/>
          </w:tcPr>
          <w:p w14:paraId="78FB097F" w14:textId="6967E585" w:rsidR="00DD739A" w:rsidRPr="00DD739A" w:rsidRDefault="00DD739A" w:rsidP="00DD739A">
            <w:pPr>
              <w:jc w:val="center"/>
              <w:rPr>
                <w:b/>
                <w:bCs/>
              </w:rPr>
            </w:pPr>
            <w:r w:rsidRPr="00DD739A">
              <w:rPr>
                <w:b/>
                <w:bCs/>
              </w:rPr>
              <w:t>Opis</w:t>
            </w:r>
          </w:p>
        </w:tc>
        <w:tc>
          <w:tcPr>
            <w:tcW w:w="1803" w:type="dxa"/>
          </w:tcPr>
          <w:p w14:paraId="51A841A6" w14:textId="22701FB0" w:rsidR="00DD739A" w:rsidRPr="00DD739A" w:rsidRDefault="00DD739A" w:rsidP="00DD739A">
            <w:pPr>
              <w:jc w:val="center"/>
              <w:rPr>
                <w:b/>
                <w:bCs/>
              </w:rPr>
            </w:pPr>
            <w:r w:rsidRPr="00DD739A">
              <w:rPr>
                <w:b/>
                <w:bCs/>
              </w:rPr>
              <w:t>Neproizvedena imovina</w:t>
            </w:r>
          </w:p>
        </w:tc>
        <w:tc>
          <w:tcPr>
            <w:tcW w:w="1803" w:type="dxa"/>
          </w:tcPr>
          <w:p w14:paraId="3EEB6887" w14:textId="01FD5922" w:rsidR="00DD739A" w:rsidRPr="00DD739A" w:rsidRDefault="00DD739A" w:rsidP="00DD739A">
            <w:pPr>
              <w:jc w:val="center"/>
              <w:rPr>
                <w:b/>
                <w:bCs/>
              </w:rPr>
            </w:pPr>
            <w:r w:rsidRPr="00DD739A">
              <w:rPr>
                <w:b/>
                <w:bCs/>
              </w:rPr>
              <w:t>Prozivedena imovina</w:t>
            </w:r>
          </w:p>
        </w:tc>
        <w:tc>
          <w:tcPr>
            <w:tcW w:w="1803" w:type="dxa"/>
          </w:tcPr>
          <w:p w14:paraId="6815DA1C" w14:textId="000AC525" w:rsidR="00DD739A" w:rsidRPr="00DD739A" w:rsidRDefault="00DD739A" w:rsidP="00DD739A">
            <w:pPr>
              <w:jc w:val="center"/>
              <w:rPr>
                <w:b/>
                <w:bCs/>
              </w:rPr>
            </w:pPr>
            <w:r w:rsidRPr="00DD739A">
              <w:rPr>
                <w:b/>
                <w:bCs/>
              </w:rPr>
              <w:t>Nefinancijska imovina u pripremi</w:t>
            </w:r>
          </w:p>
        </w:tc>
        <w:tc>
          <w:tcPr>
            <w:tcW w:w="1804" w:type="dxa"/>
          </w:tcPr>
          <w:p w14:paraId="295D408F" w14:textId="77DD4E1E" w:rsidR="00DD739A" w:rsidRPr="00DD739A" w:rsidRDefault="00DD739A" w:rsidP="00DD739A">
            <w:pPr>
              <w:jc w:val="center"/>
              <w:rPr>
                <w:b/>
                <w:bCs/>
              </w:rPr>
            </w:pPr>
            <w:r w:rsidRPr="00DD739A">
              <w:rPr>
                <w:b/>
                <w:bCs/>
              </w:rPr>
              <w:t>Sveukupno</w:t>
            </w:r>
          </w:p>
        </w:tc>
      </w:tr>
      <w:tr w:rsidR="00DD739A" w14:paraId="7FEEFF67" w14:textId="77777777" w:rsidTr="00DD739A">
        <w:tc>
          <w:tcPr>
            <w:tcW w:w="1803" w:type="dxa"/>
          </w:tcPr>
          <w:p w14:paraId="1F698484" w14:textId="537F2804" w:rsidR="00DD739A" w:rsidRDefault="00DD739A" w:rsidP="00EE205F">
            <w:pPr>
              <w:jc w:val="both"/>
            </w:pPr>
            <w:r>
              <w:t>Nabavna vrijednost</w:t>
            </w:r>
          </w:p>
        </w:tc>
        <w:tc>
          <w:tcPr>
            <w:tcW w:w="1803" w:type="dxa"/>
          </w:tcPr>
          <w:p w14:paraId="2E0D70A1" w14:textId="6C9237FC" w:rsidR="00DD739A" w:rsidRDefault="00DD739A" w:rsidP="00DD739A">
            <w:pPr>
              <w:jc w:val="right"/>
            </w:pPr>
            <w:r>
              <w:t>204.659.453,61</w:t>
            </w:r>
          </w:p>
        </w:tc>
        <w:tc>
          <w:tcPr>
            <w:tcW w:w="1803" w:type="dxa"/>
          </w:tcPr>
          <w:p w14:paraId="54A69E90" w14:textId="1150AC32" w:rsidR="00DD739A" w:rsidRDefault="00B209C7" w:rsidP="00DD739A">
            <w:pPr>
              <w:jc w:val="right"/>
            </w:pPr>
            <w:r>
              <w:t>1.557.563.272,30</w:t>
            </w:r>
          </w:p>
        </w:tc>
        <w:tc>
          <w:tcPr>
            <w:tcW w:w="1803" w:type="dxa"/>
          </w:tcPr>
          <w:p w14:paraId="171DDE7F" w14:textId="14B9F45B" w:rsidR="00DD739A" w:rsidRDefault="00B209C7" w:rsidP="00DD739A">
            <w:pPr>
              <w:jc w:val="right"/>
            </w:pPr>
            <w:r>
              <w:t>13.804.911,65</w:t>
            </w:r>
          </w:p>
        </w:tc>
        <w:tc>
          <w:tcPr>
            <w:tcW w:w="1804" w:type="dxa"/>
          </w:tcPr>
          <w:p w14:paraId="6FED5BFE" w14:textId="15A65D82" w:rsidR="00DD739A" w:rsidRDefault="00B209C7" w:rsidP="00DD739A">
            <w:pPr>
              <w:jc w:val="right"/>
            </w:pPr>
            <w:r w:rsidRPr="00B209C7">
              <w:t>13.804.911,65</w:t>
            </w:r>
          </w:p>
        </w:tc>
      </w:tr>
      <w:tr w:rsidR="00DD739A" w14:paraId="0E781355" w14:textId="77777777" w:rsidTr="00DD739A">
        <w:tc>
          <w:tcPr>
            <w:tcW w:w="1803" w:type="dxa"/>
          </w:tcPr>
          <w:p w14:paraId="0EC9146C" w14:textId="7BF6A154" w:rsidR="00DD739A" w:rsidRDefault="00DD739A" w:rsidP="00EE205F">
            <w:pPr>
              <w:jc w:val="both"/>
            </w:pPr>
            <w:r>
              <w:t xml:space="preserve">Ispravak vrijednosti </w:t>
            </w:r>
          </w:p>
        </w:tc>
        <w:tc>
          <w:tcPr>
            <w:tcW w:w="1803" w:type="dxa"/>
          </w:tcPr>
          <w:p w14:paraId="53212C67" w14:textId="647EA98F" w:rsidR="00DD739A" w:rsidRDefault="00DD739A" w:rsidP="00DD739A">
            <w:pPr>
              <w:jc w:val="right"/>
            </w:pPr>
            <w:r>
              <w:t>32.881.850,29</w:t>
            </w:r>
          </w:p>
        </w:tc>
        <w:tc>
          <w:tcPr>
            <w:tcW w:w="1803" w:type="dxa"/>
          </w:tcPr>
          <w:p w14:paraId="3AB15BF6" w14:textId="70E10088" w:rsidR="00DD739A" w:rsidRDefault="00B209C7" w:rsidP="00DD739A">
            <w:pPr>
              <w:jc w:val="right"/>
            </w:pPr>
            <w:r>
              <w:t>483.901.889,04</w:t>
            </w:r>
          </w:p>
        </w:tc>
        <w:tc>
          <w:tcPr>
            <w:tcW w:w="1803" w:type="dxa"/>
          </w:tcPr>
          <w:p w14:paraId="4121BF77" w14:textId="77777777" w:rsidR="00DD739A" w:rsidRDefault="00DD739A" w:rsidP="00DD739A">
            <w:pPr>
              <w:jc w:val="right"/>
            </w:pPr>
          </w:p>
        </w:tc>
        <w:tc>
          <w:tcPr>
            <w:tcW w:w="1804" w:type="dxa"/>
          </w:tcPr>
          <w:p w14:paraId="46BAFC91" w14:textId="1ECB3CFF" w:rsidR="00DD739A" w:rsidRDefault="00B209C7" w:rsidP="00B209C7">
            <w:pPr>
              <w:jc w:val="center"/>
            </w:pPr>
            <w:r w:rsidRPr="00B209C7">
              <w:t>516.783.739,33</w:t>
            </w:r>
          </w:p>
        </w:tc>
      </w:tr>
      <w:tr w:rsidR="00DD739A" w14:paraId="247B9365" w14:textId="77777777" w:rsidTr="00DD739A">
        <w:tc>
          <w:tcPr>
            <w:tcW w:w="1803" w:type="dxa"/>
          </w:tcPr>
          <w:p w14:paraId="196598CB" w14:textId="6D321B9D" w:rsidR="00DD739A" w:rsidRDefault="00DD739A" w:rsidP="00EE205F">
            <w:pPr>
              <w:jc w:val="both"/>
            </w:pPr>
            <w:r>
              <w:t>Sadašnja vrijednost</w:t>
            </w:r>
          </w:p>
        </w:tc>
        <w:tc>
          <w:tcPr>
            <w:tcW w:w="1803" w:type="dxa"/>
          </w:tcPr>
          <w:p w14:paraId="69A3508D" w14:textId="3DBEBECA" w:rsidR="00DD739A" w:rsidRDefault="00DD739A" w:rsidP="00DD739A">
            <w:pPr>
              <w:jc w:val="right"/>
            </w:pPr>
            <w:r>
              <w:t>171.777.603,32</w:t>
            </w:r>
          </w:p>
        </w:tc>
        <w:tc>
          <w:tcPr>
            <w:tcW w:w="1803" w:type="dxa"/>
          </w:tcPr>
          <w:p w14:paraId="395622E4" w14:textId="4E29A4BC" w:rsidR="00DD739A" w:rsidRDefault="00B209C7" w:rsidP="00DD739A">
            <w:pPr>
              <w:jc w:val="right"/>
            </w:pPr>
            <w:r>
              <w:t>1.073.661.383,26</w:t>
            </w:r>
          </w:p>
        </w:tc>
        <w:tc>
          <w:tcPr>
            <w:tcW w:w="1803" w:type="dxa"/>
          </w:tcPr>
          <w:p w14:paraId="38854D5C" w14:textId="732CE313" w:rsidR="00DD739A" w:rsidRDefault="00B209C7" w:rsidP="00DD739A">
            <w:pPr>
              <w:jc w:val="right"/>
            </w:pPr>
            <w:r w:rsidRPr="00B209C7">
              <w:t>13.804.911,65</w:t>
            </w:r>
          </w:p>
        </w:tc>
        <w:tc>
          <w:tcPr>
            <w:tcW w:w="1804" w:type="dxa"/>
          </w:tcPr>
          <w:p w14:paraId="6CF595AA" w14:textId="5E5AF58B" w:rsidR="00DD739A" w:rsidRDefault="00B209C7" w:rsidP="00DD739A">
            <w:pPr>
              <w:jc w:val="right"/>
            </w:pPr>
            <w:r w:rsidRPr="00B209C7">
              <w:t>1.259.243.898,23</w:t>
            </w:r>
          </w:p>
        </w:tc>
      </w:tr>
    </w:tbl>
    <w:p w14:paraId="1FCB76DA" w14:textId="77777777" w:rsidR="00DD739A" w:rsidRPr="00646DF9" w:rsidRDefault="00DD739A" w:rsidP="00EE205F">
      <w:pPr>
        <w:jc w:val="both"/>
      </w:pPr>
    </w:p>
    <w:p w14:paraId="1B555A4A" w14:textId="3B604705" w:rsidR="00646DF9" w:rsidRDefault="00B209C7" w:rsidP="00EE205F">
      <w:pPr>
        <w:jc w:val="both"/>
      </w:pPr>
      <w:r w:rsidRPr="00B209C7">
        <w:t xml:space="preserve">Najveći dio dugotrajne </w:t>
      </w:r>
      <w:r>
        <w:t>materijalne imovine (lučki terminali i ostale građevine) je temeljem koncesijskih ugovora dano na korištenje i upravljanje koncesionarima, od koji je najveći LUKA PLOČE d.d.  i to</w:t>
      </w:r>
      <w:r w:rsidR="00B442AE">
        <w:t>.</w:t>
      </w:r>
    </w:p>
    <w:p w14:paraId="32B21D75" w14:textId="2B3ADA3B" w:rsidR="004D03BF" w:rsidRDefault="004D03BF" w:rsidP="00EE205F">
      <w:pPr>
        <w:jc w:val="both"/>
        <w:rPr>
          <w:b/>
          <w:bCs/>
        </w:rPr>
      </w:pPr>
      <w:r>
        <w:rPr>
          <w:b/>
          <w:bCs/>
        </w:rPr>
        <w:t>1 FINANCIJSKA IMOVINA</w:t>
      </w:r>
      <w:r w:rsidR="00B442AE">
        <w:rPr>
          <w:b/>
          <w:bCs/>
        </w:rPr>
        <w:t xml:space="preserve"> – AOP 063</w:t>
      </w:r>
    </w:p>
    <w:p w14:paraId="3259F5A1" w14:textId="5BFFDFEC" w:rsidR="004D03BF" w:rsidRPr="00B442AE" w:rsidRDefault="00B442AE" w:rsidP="00EE205F">
      <w:pPr>
        <w:jc w:val="both"/>
      </w:pPr>
      <w:r w:rsidRPr="00B442AE">
        <w:t>Financijska imovina u bilanci na dan 31.12.2021. godine iznosi 44.129.968,29 HRK i sadržana je od n</w:t>
      </w:r>
      <w:r w:rsidR="004D03BF" w:rsidRPr="00B442AE">
        <w:t>ov</w:t>
      </w:r>
      <w:r w:rsidRPr="00B442AE">
        <w:t>ca</w:t>
      </w:r>
      <w:r w:rsidR="004D03BF" w:rsidRPr="00B442AE">
        <w:t xml:space="preserve"> u banci i blagajni</w:t>
      </w:r>
      <w:r w:rsidRPr="00B442AE">
        <w:t>, d</w:t>
      </w:r>
      <w:r w:rsidR="004D03BF" w:rsidRPr="00B442AE">
        <w:t>epozit</w:t>
      </w:r>
      <w:r w:rsidRPr="00B442AE">
        <w:t>a,</w:t>
      </w:r>
      <w:r w:rsidR="004D03BF" w:rsidRPr="00B442AE">
        <w:t xml:space="preserve"> jamčevni</w:t>
      </w:r>
      <w:r w:rsidRPr="00B442AE">
        <w:t>h</w:t>
      </w:r>
      <w:r w:rsidR="004D03BF" w:rsidRPr="00B442AE">
        <w:t xml:space="preserve"> polo</w:t>
      </w:r>
      <w:r w:rsidRPr="00B442AE">
        <w:t xml:space="preserve">ga, </w:t>
      </w:r>
      <w:r w:rsidR="004D03BF" w:rsidRPr="00B442AE">
        <w:t xml:space="preserve"> </w:t>
      </w:r>
      <w:r w:rsidRPr="00B442AE">
        <w:t>d</w:t>
      </w:r>
      <w:r w:rsidR="004D03BF" w:rsidRPr="00B442AE">
        <w:t>ionic</w:t>
      </w:r>
      <w:r w:rsidRPr="00B442AE">
        <w:t>a</w:t>
      </w:r>
      <w:r w:rsidR="004D03BF" w:rsidRPr="00B442AE">
        <w:t xml:space="preserve"> i udjel</w:t>
      </w:r>
      <w:r w:rsidRPr="00B442AE">
        <w:t>a</w:t>
      </w:r>
      <w:r w:rsidR="004D03BF" w:rsidRPr="00B442AE">
        <w:t xml:space="preserve"> u glavnici</w:t>
      </w:r>
      <w:r w:rsidRPr="00B442AE">
        <w:t>, te p</w:t>
      </w:r>
      <w:r w:rsidR="004D03BF" w:rsidRPr="00B442AE">
        <w:t>otraživanja za prihode poslovanja</w:t>
      </w:r>
      <w:r w:rsidRPr="00B442AE">
        <w:t xml:space="preserve"> i p</w:t>
      </w:r>
      <w:r w:rsidR="004D03BF" w:rsidRPr="00B442AE">
        <w:t>otraživanja za prihode od prodaje nefinancijske imovine</w:t>
      </w:r>
      <w:r w:rsidRPr="00B442AE">
        <w:t>.</w:t>
      </w:r>
    </w:p>
    <w:p w14:paraId="3A7B979E" w14:textId="2F74170D" w:rsidR="00B442AE" w:rsidRDefault="00B442AE">
      <w:pPr>
        <w:rPr>
          <w:b/>
          <w:bCs/>
        </w:rPr>
      </w:pPr>
      <w:r>
        <w:rPr>
          <w:b/>
          <w:bCs/>
        </w:rPr>
        <w:t>11</w:t>
      </w:r>
      <w:r w:rsidR="008F236A">
        <w:rPr>
          <w:b/>
          <w:bCs/>
        </w:rPr>
        <w:t xml:space="preserve"> </w:t>
      </w:r>
      <w:r>
        <w:rPr>
          <w:b/>
          <w:bCs/>
        </w:rPr>
        <w:t>Novac u banci i blagajni – AOP 064</w:t>
      </w:r>
    </w:p>
    <w:p w14:paraId="298E19E0" w14:textId="77777777" w:rsidR="00B442AE" w:rsidRDefault="00B442AE" w:rsidP="00FF1B7C">
      <w:pPr>
        <w:jc w:val="both"/>
      </w:pPr>
      <w:r>
        <w:lastRenderedPageBreak/>
        <w:t>Stanje novca u banci i blagajni na dan 31.12.2021. godine iznosi 24.628.973,38 HRK.</w:t>
      </w:r>
    </w:p>
    <w:p w14:paraId="038D5D72" w14:textId="5926D09C" w:rsidR="000B75FF" w:rsidRDefault="000B75FF" w:rsidP="00FF1B7C">
      <w:pPr>
        <w:jc w:val="both"/>
      </w:pPr>
      <w:r>
        <w:t xml:space="preserve">Stanje kunskih računa iznosi 19.799,11 HRK, a deviznih 9.386,25 HRK. Novac u blagajni na dan 31.12.2021. iznosi 8.280,00 HRK. </w:t>
      </w:r>
    </w:p>
    <w:p w14:paraId="0DF91A14" w14:textId="014FD297" w:rsidR="00FF1B7C" w:rsidRDefault="000B75FF" w:rsidP="00FF1B7C">
      <w:pPr>
        <w:jc w:val="both"/>
      </w:pPr>
      <w:r>
        <w:t>Stanje izdvojenih novčanih sredstva na dan 31.12.2021. iznosi  24.591.508,02 HRK</w:t>
      </w:r>
      <w:r w:rsidR="00FF1B7C">
        <w:t>. Radi se o naplatama po osnovi bankarskih garancija temeljem pravomoćnih sudskih rješenja, a koja se ne koriste zbog započetih sudskih postupaka. Ova sredstva su izdvojena do okončanja sporova.</w:t>
      </w:r>
    </w:p>
    <w:p w14:paraId="37EB0A69" w14:textId="77777777" w:rsidR="008F236A" w:rsidRDefault="008F236A">
      <w:pPr>
        <w:rPr>
          <w:b/>
          <w:bCs/>
        </w:rPr>
      </w:pPr>
      <w:r>
        <w:rPr>
          <w:b/>
          <w:bCs/>
        </w:rPr>
        <w:t xml:space="preserve">12 </w:t>
      </w:r>
      <w:r w:rsidRPr="008F236A">
        <w:rPr>
          <w:b/>
          <w:bCs/>
        </w:rPr>
        <w:t>Depoziti, jamčevni polozi i potraživanja od zaposlenih te za više plaćene poreze i ostalo</w:t>
      </w:r>
      <w:r>
        <w:rPr>
          <w:b/>
          <w:bCs/>
        </w:rPr>
        <w:t xml:space="preserve"> - AOP 073</w:t>
      </w:r>
    </w:p>
    <w:p w14:paraId="12EAFAE6" w14:textId="6951935D" w:rsidR="008F236A" w:rsidRDefault="008F236A">
      <w:r>
        <w:t>Stanje j</w:t>
      </w:r>
      <w:r w:rsidRPr="008F236A">
        <w:t>amčevni</w:t>
      </w:r>
      <w:r>
        <w:t>h</w:t>
      </w:r>
      <w:r w:rsidRPr="008F236A">
        <w:t xml:space="preserve"> pol</w:t>
      </w:r>
      <w:r>
        <w:t xml:space="preserve">oga </w:t>
      </w:r>
      <w:r w:rsidRPr="008F236A">
        <w:t>na dan 31.12.2021. iznos</w:t>
      </w:r>
      <w:r>
        <w:t xml:space="preserve">i </w:t>
      </w:r>
      <w:r w:rsidRPr="008F236A">
        <w:t>37.182,10 HRK.</w:t>
      </w:r>
    </w:p>
    <w:p w14:paraId="798F37BD" w14:textId="74039F9F" w:rsidR="008F236A" w:rsidRPr="00F06818" w:rsidRDefault="008F236A">
      <w:pPr>
        <w:rPr>
          <w:b/>
          <w:bCs/>
        </w:rPr>
      </w:pPr>
      <w:r w:rsidRPr="00F06818">
        <w:rPr>
          <w:b/>
          <w:bCs/>
        </w:rPr>
        <w:t>1</w:t>
      </w:r>
      <w:r w:rsidR="00F06818" w:rsidRPr="00F06818">
        <w:rPr>
          <w:b/>
          <w:bCs/>
        </w:rPr>
        <w:t>5 Dionice i udjeli u glavnici – AOP 129</w:t>
      </w:r>
    </w:p>
    <w:p w14:paraId="6D2843CA" w14:textId="77777777" w:rsidR="00F06818" w:rsidRPr="00F06818" w:rsidRDefault="00F06818" w:rsidP="00B15B7F">
      <w:pPr>
        <w:jc w:val="both"/>
      </w:pPr>
      <w:r w:rsidRPr="00F06818">
        <w:t>Stanje dionica i udjela u glavnici na dan 31.12.2021. iznosi 89.000,00 HRK. Dionice i udjeli u glavnici iskazuju se prema trošku stjecanja  i odnose se na ulaganja u sljedeće pravne osobe:</w:t>
      </w:r>
    </w:p>
    <w:tbl>
      <w:tblPr>
        <w:tblStyle w:val="Reetkatablice"/>
        <w:tblW w:w="0" w:type="auto"/>
        <w:tblLook w:val="04A0" w:firstRow="1" w:lastRow="0" w:firstColumn="1" w:lastColumn="0" w:noHBand="0" w:noVBand="1"/>
      </w:tblPr>
      <w:tblGrid>
        <w:gridCol w:w="3005"/>
        <w:gridCol w:w="1668"/>
        <w:gridCol w:w="2410"/>
      </w:tblGrid>
      <w:tr w:rsidR="00F06818" w14:paraId="1E0B0F12" w14:textId="77777777" w:rsidTr="00F06818">
        <w:tc>
          <w:tcPr>
            <w:tcW w:w="3005" w:type="dxa"/>
          </w:tcPr>
          <w:p w14:paraId="2F1CBE6C" w14:textId="066E14FF" w:rsidR="00F06818" w:rsidRDefault="00F06818" w:rsidP="00F06818">
            <w:pPr>
              <w:jc w:val="center"/>
              <w:rPr>
                <w:b/>
                <w:bCs/>
              </w:rPr>
            </w:pPr>
            <w:r>
              <w:rPr>
                <w:b/>
                <w:bCs/>
              </w:rPr>
              <w:t>Opis</w:t>
            </w:r>
          </w:p>
        </w:tc>
        <w:tc>
          <w:tcPr>
            <w:tcW w:w="1668" w:type="dxa"/>
          </w:tcPr>
          <w:p w14:paraId="7CC2033B" w14:textId="12706B1D" w:rsidR="00F06818" w:rsidRDefault="00F06818" w:rsidP="00F06818">
            <w:pPr>
              <w:jc w:val="center"/>
              <w:rPr>
                <w:b/>
                <w:bCs/>
              </w:rPr>
            </w:pPr>
            <w:r>
              <w:rPr>
                <w:b/>
                <w:bCs/>
              </w:rPr>
              <w:t>2021</w:t>
            </w:r>
          </w:p>
        </w:tc>
        <w:tc>
          <w:tcPr>
            <w:tcW w:w="2410" w:type="dxa"/>
          </w:tcPr>
          <w:p w14:paraId="3A02F202" w14:textId="3977646F" w:rsidR="00F06818" w:rsidRDefault="00F06818" w:rsidP="00F06818">
            <w:pPr>
              <w:jc w:val="center"/>
              <w:rPr>
                <w:b/>
                <w:bCs/>
              </w:rPr>
            </w:pPr>
            <w:r>
              <w:rPr>
                <w:b/>
                <w:bCs/>
              </w:rPr>
              <w:t>Udio u temeljenom kapitalu</w:t>
            </w:r>
          </w:p>
        </w:tc>
      </w:tr>
      <w:tr w:rsidR="00F06818" w14:paraId="091658B3" w14:textId="77777777" w:rsidTr="00F06818">
        <w:tc>
          <w:tcPr>
            <w:tcW w:w="3005" w:type="dxa"/>
          </w:tcPr>
          <w:p w14:paraId="294DDEF0" w14:textId="2FDB87A0" w:rsidR="00F06818" w:rsidRPr="00F06818" w:rsidRDefault="00F06818">
            <w:r>
              <w:t>Lučka sigurnost d.o.o. Ploče</w:t>
            </w:r>
          </w:p>
        </w:tc>
        <w:tc>
          <w:tcPr>
            <w:tcW w:w="1668" w:type="dxa"/>
          </w:tcPr>
          <w:p w14:paraId="2B6E55E9" w14:textId="02B0B60B" w:rsidR="00F06818" w:rsidRPr="00F06818" w:rsidRDefault="00F06818" w:rsidP="00F06818">
            <w:pPr>
              <w:jc w:val="right"/>
            </w:pPr>
            <w:r>
              <w:t>51.000,00</w:t>
            </w:r>
          </w:p>
        </w:tc>
        <w:tc>
          <w:tcPr>
            <w:tcW w:w="2410" w:type="dxa"/>
          </w:tcPr>
          <w:p w14:paraId="42E29261" w14:textId="70AEAE6F" w:rsidR="00F06818" w:rsidRPr="00F06818" w:rsidRDefault="00F06818" w:rsidP="00F06818">
            <w:pPr>
              <w:jc w:val="center"/>
            </w:pPr>
            <w:r>
              <w:t>51%</w:t>
            </w:r>
          </w:p>
        </w:tc>
      </w:tr>
      <w:tr w:rsidR="00F06818" w14:paraId="132193AA" w14:textId="77777777" w:rsidTr="00F06818">
        <w:tc>
          <w:tcPr>
            <w:tcW w:w="3005" w:type="dxa"/>
          </w:tcPr>
          <w:p w14:paraId="39558D1D" w14:textId="2EA9BFCD" w:rsidR="00F06818" w:rsidRPr="00F06818" w:rsidRDefault="00F06818">
            <w:r>
              <w:t>Vizir d.o.o. Ploče</w:t>
            </w:r>
          </w:p>
        </w:tc>
        <w:tc>
          <w:tcPr>
            <w:tcW w:w="1668" w:type="dxa"/>
          </w:tcPr>
          <w:p w14:paraId="22137352" w14:textId="29E7AA5C" w:rsidR="00F06818" w:rsidRPr="00F06818" w:rsidRDefault="00F06818" w:rsidP="00F06818">
            <w:pPr>
              <w:jc w:val="right"/>
            </w:pPr>
            <w:r>
              <w:t>25.500,00</w:t>
            </w:r>
          </w:p>
        </w:tc>
        <w:tc>
          <w:tcPr>
            <w:tcW w:w="2410" w:type="dxa"/>
          </w:tcPr>
          <w:p w14:paraId="5F3BC5D6" w14:textId="2B68D59C" w:rsidR="00F06818" w:rsidRPr="00F06818" w:rsidRDefault="00F06818" w:rsidP="00F06818">
            <w:pPr>
              <w:jc w:val="center"/>
            </w:pPr>
            <w:r>
              <w:t>51%</w:t>
            </w:r>
          </w:p>
        </w:tc>
      </w:tr>
      <w:tr w:rsidR="00F06818" w14:paraId="2C6422F3" w14:textId="77777777" w:rsidTr="00F06818">
        <w:tc>
          <w:tcPr>
            <w:tcW w:w="3005" w:type="dxa"/>
          </w:tcPr>
          <w:p w14:paraId="7D4D6D76" w14:textId="2C95DCEA" w:rsidR="00F06818" w:rsidRPr="00F06818" w:rsidRDefault="00F06818">
            <w:r>
              <w:t>Zajednica lučkih uprava Split</w:t>
            </w:r>
          </w:p>
        </w:tc>
        <w:tc>
          <w:tcPr>
            <w:tcW w:w="1668" w:type="dxa"/>
          </w:tcPr>
          <w:p w14:paraId="1E6D545C" w14:textId="632D27E5" w:rsidR="00F06818" w:rsidRDefault="00F06818" w:rsidP="00F06818">
            <w:pPr>
              <w:jc w:val="right"/>
            </w:pPr>
            <w:r>
              <w:t>12.500,00</w:t>
            </w:r>
          </w:p>
        </w:tc>
        <w:tc>
          <w:tcPr>
            <w:tcW w:w="2410" w:type="dxa"/>
          </w:tcPr>
          <w:p w14:paraId="634A1713" w14:textId="77777777" w:rsidR="00F06818" w:rsidRPr="00F06818" w:rsidRDefault="00F06818"/>
        </w:tc>
      </w:tr>
    </w:tbl>
    <w:p w14:paraId="3EEB5408" w14:textId="77777777" w:rsidR="00D148EB" w:rsidRDefault="00D148EB"/>
    <w:p w14:paraId="64815727" w14:textId="74A6373E" w:rsidR="00D148EB" w:rsidRDefault="00D148EB" w:rsidP="00B15B7F">
      <w:pPr>
        <w:jc w:val="both"/>
      </w:pPr>
      <w:r w:rsidRPr="00D148EB">
        <w:t xml:space="preserve">Trgovačka društva Lučka sigurnost d.o.o. i Vizir d.o.o. </w:t>
      </w:r>
      <w:r>
        <w:t xml:space="preserve">svoje prihode ostvaruju od vlasnika – Lučke uprave Ploče i </w:t>
      </w:r>
      <w:r w:rsidR="00B15B7F">
        <w:t xml:space="preserve">društva </w:t>
      </w:r>
      <w:r>
        <w:t>LUK</w:t>
      </w:r>
      <w:r w:rsidR="00B15B7F">
        <w:t>A</w:t>
      </w:r>
      <w:r>
        <w:t xml:space="preserve"> PLOČE d.d. Djelatnost osiguravanja sigurnosti i čuvanja luke Ploče te protupožarne zaštite je od općeg interesa osnivača.</w:t>
      </w:r>
    </w:p>
    <w:p w14:paraId="2C451DF1" w14:textId="27906482" w:rsidR="004D03BF" w:rsidRDefault="00B15B7F" w:rsidP="00B15B7F">
      <w:pPr>
        <w:jc w:val="both"/>
      </w:pPr>
      <w:r w:rsidRPr="00B15B7F">
        <w:t>Osnivač (Lučka uprava) je osnovao društva u svom vlasništvu i preuzeo sve bivše djelatnike DP Luke Ploče koji su bili zaposleni u unutarnjoj čuvarskoj službi i unutarnjoj profesionalnoj vatrogasnoj postrojbi. 49% udjela je prodanu društvu LUKA PLOČE d.d. Ove tvrtke uspješno obavljaju svoju djelatnost u skladu s propisima.</w:t>
      </w:r>
    </w:p>
    <w:p w14:paraId="696CA6D1" w14:textId="3BBE0044" w:rsidR="00A233D5" w:rsidRPr="00A233D5" w:rsidRDefault="00A233D5" w:rsidP="00B15B7F">
      <w:pPr>
        <w:jc w:val="both"/>
        <w:rPr>
          <w:b/>
          <w:bCs/>
        </w:rPr>
      </w:pPr>
      <w:r w:rsidRPr="00A233D5">
        <w:rPr>
          <w:b/>
          <w:bCs/>
        </w:rPr>
        <w:t>16 Potraživanja za prihode poslovanja – AOP 141</w:t>
      </w:r>
    </w:p>
    <w:p w14:paraId="031CF318" w14:textId="53CB1B23" w:rsidR="00A233D5" w:rsidRDefault="00A233D5" w:rsidP="00B15B7F">
      <w:pPr>
        <w:jc w:val="both"/>
      </w:pPr>
      <w:r>
        <w:t xml:space="preserve">Potraživanja za prihode poslovanja na dan 31.12.2021. iznose </w:t>
      </w:r>
      <w:r w:rsidR="00CC01D2">
        <w:t>19.356.740,39 HRK, a prema sljedećoj strukturi:</w:t>
      </w:r>
    </w:p>
    <w:tbl>
      <w:tblPr>
        <w:tblStyle w:val="Reetkatablice"/>
        <w:tblW w:w="0" w:type="auto"/>
        <w:tblLook w:val="04A0" w:firstRow="1" w:lastRow="0" w:firstColumn="1" w:lastColumn="0" w:noHBand="0" w:noVBand="1"/>
      </w:tblPr>
      <w:tblGrid>
        <w:gridCol w:w="4508"/>
        <w:gridCol w:w="2008"/>
      </w:tblGrid>
      <w:tr w:rsidR="00A233D5" w:rsidRPr="00A233D5" w14:paraId="027A7F4B" w14:textId="77777777" w:rsidTr="00A233D5">
        <w:tc>
          <w:tcPr>
            <w:tcW w:w="4508" w:type="dxa"/>
          </w:tcPr>
          <w:p w14:paraId="7F663D8B" w14:textId="521D9A9C" w:rsidR="00A233D5" w:rsidRPr="00A233D5" w:rsidRDefault="00A233D5" w:rsidP="00A233D5">
            <w:pPr>
              <w:jc w:val="center"/>
              <w:rPr>
                <w:b/>
                <w:bCs/>
              </w:rPr>
            </w:pPr>
            <w:r w:rsidRPr="00A233D5">
              <w:rPr>
                <w:b/>
                <w:bCs/>
              </w:rPr>
              <w:t>Opis</w:t>
            </w:r>
          </w:p>
        </w:tc>
        <w:tc>
          <w:tcPr>
            <w:tcW w:w="2008" w:type="dxa"/>
          </w:tcPr>
          <w:p w14:paraId="10540618" w14:textId="08626E2A" w:rsidR="00A233D5" w:rsidRPr="00A233D5" w:rsidRDefault="00A233D5" w:rsidP="00A233D5">
            <w:pPr>
              <w:jc w:val="center"/>
              <w:rPr>
                <w:b/>
                <w:bCs/>
              </w:rPr>
            </w:pPr>
            <w:r w:rsidRPr="00A233D5">
              <w:rPr>
                <w:b/>
                <w:bCs/>
              </w:rPr>
              <w:t>2021</w:t>
            </w:r>
          </w:p>
        </w:tc>
      </w:tr>
      <w:tr w:rsidR="00A233D5" w14:paraId="0184135F" w14:textId="77777777" w:rsidTr="00A233D5">
        <w:tc>
          <w:tcPr>
            <w:tcW w:w="4508" w:type="dxa"/>
          </w:tcPr>
          <w:p w14:paraId="3072190B" w14:textId="5FD1F921" w:rsidR="00A233D5" w:rsidRDefault="00A233D5" w:rsidP="00B15B7F">
            <w:pPr>
              <w:jc w:val="both"/>
            </w:pPr>
            <w:r w:rsidRPr="00A233D5">
              <w:t>Potraživanja za pomoći iz inozemstva i od subjekata unutar općeg proračuna</w:t>
            </w:r>
          </w:p>
        </w:tc>
        <w:tc>
          <w:tcPr>
            <w:tcW w:w="2008" w:type="dxa"/>
          </w:tcPr>
          <w:p w14:paraId="243788B3" w14:textId="0660AC43" w:rsidR="00A233D5" w:rsidRDefault="00A233D5" w:rsidP="00A233D5">
            <w:pPr>
              <w:jc w:val="right"/>
            </w:pPr>
            <w:r>
              <w:t>1.658.685,48</w:t>
            </w:r>
          </w:p>
        </w:tc>
      </w:tr>
      <w:tr w:rsidR="00A233D5" w14:paraId="6712DB58" w14:textId="77777777" w:rsidTr="00A233D5">
        <w:tc>
          <w:tcPr>
            <w:tcW w:w="4508" w:type="dxa"/>
          </w:tcPr>
          <w:p w14:paraId="42E7DCE8" w14:textId="25A1F9E1" w:rsidR="00A233D5" w:rsidRDefault="00A233D5" w:rsidP="00B15B7F">
            <w:pPr>
              <w:jc w:val="both"/>
            </w:pPr>
            <w:r w:rsidRPr="00A233D5">
              <w:t>Potraživanja za prihode od imovine</w:t>
            </w:r>
          </w:p>
        </w:tc>
        <w:tc>
          <w:tcPr>
            <w:tcW w:w="2008" w:type="dxa"/>
          </w:tcPr>
          <w:p w14:paraId="54128F5E" w14:textId="7CC5C098" w:rsidR="00A233D5" w:rsidRDefault="00A233D5" w:rsidP="00A233D5">
            <w:pPr>
              <w:jc w:val="right"/>
            </w:pPr>
            <w:r>
              <w:t>2.406.438,30</w:t>
            </w:r>
          </w:p>
        </w:tc>
      </w:tr>
      <w:tr w:rsidR="00A233D5" w14:paraId="4D55BB86" w14:textId="77777777" w:rsidTr="00A233D5">
        <w:tc>
          <w:tcPr>
            <w:tcW w:w="4508" w:type="dxa"/>
          </w:tcPr>
          <w:p w14:paraId="575C8873" w14:textId="63A937D8" w:rsidR="00A233D5" w:rsidRPr="00A233D5" w:rsidRDefault="00A233D5" w:rsidP="00B15B7F">
            <w:pPr>
              <w:jc w:val="both"/>
            </w:pPr>
            <w:r w:rsidRPr="00A233D5">
              <w:t>Potraživanja za upravne i administrativne pristojbe, pristojbe po posebnim propisima i naknade</w:t>
            </w:r>
          </w:p>
        </w:tc>
        <w:tc>
          <w:tcPr>
            <w:tcW w:w="2008" w:type="dxa"/>
          </w:tcPr>
          <w:p w14:paraId="13EB84E3" w14:textId="7327300E" w:rsidR="00A233D5" w:rsidRDefault="00A233D5" w:rsidP="00A233D5">
            <w:pPr>
              <w:jc w:val="right"/>
            </w:pPr>
            <w:r>
              <w:t>2.341.547,98</w:t>
            </w:r>
          </w:p>
        </w:tc>
      </w:tr>
      <w:tr w:rsidR="00A233D5" w14:paraId="7B52CA96" w14:textId="77777777" w:rsidTr="00A233D5">
        <w:tc>
          <w:tcPr>
            <w:tcW w:w="4508" w:type="dxa"/>
          </w:tcPr>
          <w:p w14:paraId="0DFAC99F" w14:textId="5511AFF8" w:rsidR="00A233D5" w:rsidRPr="00A233D5" w:rsidRDefault="00A233D5" w:rsidP="00B15B7F">
            <w:pPr>
              <w:jc w:val="both"/>
            </w:pPr>
            <w:r w:rsidRPr="00A233D5">
              <w:t>Potraživanja za prihode od prodaje proizvoda i robe te pruženih usluga</w:t>
            </w:r>
          </w:p>
        </w:tc>
        <w:tc>
          <w:tcPr>
            <w:tcW w:w="2008" w:type="dxa"/>
          </w:tcPr>
          <w:p w14:paraId="6915906E" w14:textId="281ADC33" w:rsidR="00A233D5" w:rsidRDefault="00A233D5" w:rsidP="00A233D5">
            <w:pPr>
              <w:jc w:val="right"/>
            </w:pPr>
            <w:r>
              <w:t>82.648,03</w:t>
            </w:r>
          </w:p>
        </w:tc>
      </w:tr>
      <w:tr w:rsidR="00A233D5" w14:paraId="2D0ABA08" w14:textId="77777777" w:rsidTr="00A233D5">
        <w:tc>
          <w:tcPr>
            <w:tcW w:w="4508" w:type="dxa"/>
          </w:tcPr>
          <w:p w14:paraId="4093153D" w14:textId="4CCC819C" w:rsidR="00A233D5" w:rsidRPr="00A233D5" w:rsidRDefault="00A233D5" w:rsidP="00B15B7F">
            <w:pPr>
              <w:jc w:val="both"/>
            </w:pPr>
            <w:r w:rsidRPr="00A233D5">
              <w:t>Potraživanja za prihode iz proračuna</w:t>
            </w:r>
          </w:p>
        </w:tc>
        <w:tc>
          <w:tcPr>
            <w:tcW w:w="2008" w:type="dxa"/>
          </w:tcPr>
          <w:p w14:paraId="65A2AE6F" w14:textId="6AC7378E" w:rsidR="00A233D5" w:rsidRDefault="00CC01D2" w:rsidP="00A233D5">
            <w:pPr>
              <w:jc w:val="right"/>
            </w:pPr>
            <w:r>
              <w:t>13.292.503,41</w:t>
            </w:r>
          </w:p>
        </w:tc>
      </w:tr>
      <w:tr w:rsidR="00CC01D2" w14:paraId="66CA022E" w14:textId="77777777" w:rsidTr="00A233D5">
        <w:tc>
          <w:tcPr>
            <w:tcW w:w="4508" w:type="dxa"/>
          </w:tcPr>
          <w:p w14:paraId="6B04DA3A" w14:textId="43C569F8" w:rsidR="00CC01D2" w:rsidRPr="00A233D5" w:rsidRDefault="00CC01D2" w:rsidP="00B15B7F">
            <w:pPr>
              <w:jc w:val="both"/>
            </w:pPr>
            <w:r w:rsidRPr="00CC01D2">
              <w:t>Ispravak vrijednosti potraživanja</w:t>
            </w:r>
          </w:p>
        </w:tc>
        <w:tc>
          <w:tcPr>
            <w:tcW w:w="2008" w:type="dxa"/>
          </w:tcPr>
          <w:p w14:paraId="3434C082" w14:textId="60DB297A" w:rsidR="00CC01D2" w:rsidRDefault="00CC01D2" w:rsidP="00A233D5">
            <w:pPr>
              <w:jc w:val="right"/>
            </w:pPr>
            <w:r>
              <w:t>(447.220,28)</w:t>
            </w:r>
          </w:p>
        </w:tc>
      </w:tr>
    </w:tbl>
    <w:p w14:paraId="35C851AB" w14:textId="6CA02509" w:rsidR="00A233D5" w:rsidRDefault="00A233D5" w:rsidP="00B15B7F">
      <w:pPr>
        <w:jc w:val="both"/>
      </w:pPr>
    </w:p>
    <w:p w14:paraId="56B9CE71" w14:textId="31DCFBB6" w:rsidR="00CC01D2" w:rsidRPr="00CC01D2" w:rsidRDefault="00CC01D2" w:rsidP="00B15B7F">
      <w:pPr>
        <w:jc w:val="both"/>
        <w:rPr>
          <w:b/>
          <w:bCs/>
        </w:rPr>
      </w:pPr>
      <w:r w:rsidRPr="00CC01D2">
        <w:rPr>
          <w:b/>
          <w:bCs/>
        </w:rPr>
        <w:t>17 Potraživanja od prodaje nefinancijske imovine – AOP 159</w:t>
      </w:r>
    </w:p>
    <w:p w14:paraId="075BA3D3" w14:textId="105011F1" w:rsidR="00CC01D2" w:rsidRPr="00CC01D2" w:rsidRDefault="00CC01D2" w:rsidP="00B15B7F">
      <w:pPr>
        <w:jc w:val="both"/>
      </w:pPr>
      <w:r w:rsidRPr="00CC01D2">
        <w:t>Potraživanja od prodaje nefinancijske imovine na dan 31.12.2021. iznose 5.000,00 HRK.</w:t>
      </w:r>
    </w:p>
    <w:p w14:paraId="51ECFDF5" w14:textId="1C41D2E3" w:rsidR="004D03BF" w:rsidRDefault="004D03BF" w:rsidP="00E803FB">
      <w:pPr>
        <w:jc w:val="center"/>
        <w:rPr>
          <w:b/>
          <w:bCs/>
        </w:rPr>
      </w:pPr>
      <w:r w:rsidRPr="004D03BF">
        <w:rPr>
          <w:b/>
          <w:bCs/>
        </w:rPr>
        <w:t>OBVEZE I VLASTITI IZVORI</w:t>
      </w:r>
    </w:p>
    <w:p w14:paraId="24441845" w14:textId="737967C9" w:rsidR="004D03BF" w:rsidRDefault="004D03BF" w:rsidP="00EE205F">
      <w:pPr>
        <w:jc w:val="both"/>
        <w:rPr>
          <w:b/>
          <w:bCs/>
        </w:rPr>
      </w:pPr>
      <w:r>
        <w:rPr>
          <w:b/>
          <w:bCs/>
        </w:rPr>
        <w:t xml:space="preserve">2 </w:t>
      </w:r>
      <w:r w:rsidRPr="004D03BF">
        <w:rPr>
          <w:b/>
          <w:bCs/>
        </w:rPr>
        <w:t>OBVEZE</w:t>
      </w:r>
      <w:r w:rsidR="00E803FB">
        <w:rPr>
          <w:b/>
          <w:bCs/>
        </w:rPr>
        <w:t xml:space="preserve"> – AOP 170</w:t>
      </w:r>
    </w:p>
    <w:p w14:paraId="03DB4154" w14:textId="1C1CF96B" w:rsidR="00E803FB" w:rsidRPr="00E803FB" w:rsidRDefault="00437789" w:rsidP="00EE205F">
      <w:pPr>
        <w:jc w:val="both"/>
      </w:pPr>
      <w:r w:rsidRPr="00674AB0">
        <w:t>Obveze su neizmirena dugovanja proračuna odnosno proračunskih korisnika proizašle iz prošlih događaja, za čiju se namiru očekuje odljev resursa.</w:t>
      </w:r>
      <w:r>
        <w:t xml:space="preserve"> </w:t>
      </w:r>
      <w:r w:rsidRPr="00674AB0">
        <w:t>Obveze se klasificiraju prema namjeni i ročnosti.</w:t>
      </w:r>
      <w:r w:rsidR="00FB17A6">
        <w:t xml:space="preserve"> O</w:t>
      </w:r>
      <w:r w:rsidR="00FB17A6" w:rsidRPr="00FB17A6">
        <w:t>bveze</w:t>
      </w:r>
      <w:r w:rsidR="00FB17A6">
        <w:t xml:space="preserve"> se</w:t>
      </w:r>
      <w:r w:rsidR="00FB17A6" w:rsidRPr="00FB17A6">
        <w:t xml:space="preserve"> iskazuju po računovodstvenom načelu nastanka događaja uz primjenu metode povijesnog troška.</w:t>
      </w:r>
      <w:r w:rsidR="00FB17A6">
        <w:t xml:space="preserve"> </w:t>
      </w:r>
      <w:r w:rsidR="00E803FB" w:rsidRPr="00E803FB">
        <w:t xml:space="preserve">Obveze </w:t>
      </w:r>
      <w:r w:rsidR="00E803FB">
        <w:t>se</w:t>
      </w:r>
      <w:r w:rsidR="00E803FB" w:rsidRPr="00E803FB">
        <w:t xml:space="preserve"> iskazuju se u poslovnim knjigama u vrijednosti nastale poslovne promjene dokazane urednom ispravom i ugovorom o stvaranju obveza.</w:t>
      </w:r>
    </w:p>
    <w:p w14:paraId="50BECC3D" w14:textId="1221DD98" w:rsidR="004D03BF" w:rsidRDefault="004D03BF" w:rsidP="00EE205F">
      <w:pPr>
        <w:jc w:val="both"/>
        <w:rPr>
          <w:b/>
          <w:bCs/>
        </w:rPr>
      </w:pPr>
      <w:r>
        <w:rPr>
          <w:b/>
          <w:bCs/>
        </w:rPr>
        <w:t xml:space="preserve">23 </w:t>
      </w:r>
      <w:r w:rsidRPr="004D03BF">
        <w:rPr>
          <w:b/>
          <w:bCs/>
        </w:rPr>
        <w:t>Obveze za rashode poslovanja</w:t>
      </w:r>
      <w:r w:rsidR="00E803FB">
        <w:rPr>
          <w:b/>
          <w:bCs/>
        </w:rPr>
        <w:t xml:space="preserve"> – AOP 171</w:t>
      </w:r>
    </w:p>
    <w:p w14:paraId="5870D27A" w14:textId="1F0A1A64" w:rsidR="000D3E4E" w:rsidRPr="000D3E4E" w:rsidRDefault="000D3E4E" w:rsidP="00EE205F">
      <w:pPr>
        <w:jc w:val="both"/>
      </w:pPr>
      <w:r>
        <w:t xml:space="preserve">Obveze za rashode poslovanja </w:t>
      </w:r>
      <w:bookmarkStart w:id="1" w:name="_Hlk94200280"/>
      <w:r w:rsidR="00E803FB">
        <w:t xml:space="preserve">na dan 31.12.2021. iznose </w:t>
      </w:r>
      <w:r w:rsidR="00F37392">
        <w:t>26.873.736,83 HRK.</w:t>
      </w:r>
    </w:p>
    <w:bookmarkEnd w:id="1"/>
    <w:p w14:paraId="3C078CAF" w14:textId="280BC9DB" w:rsidR="004D03BF" w:rsidRDefault="004D03BF" w:rsidP="00EE205F">
      <w:pPr>
        <w:jc w:val="both"/>
        <w:rPr>
          <w:b/>
          <w:bCs/>
        </w:rPr>
      </w:pPr>
      <w:r>
        <w:rPr>
          <w:b/>
          <w:bCs/>
        </w:rPr>
        <w:t xml:space="preserve">24 </w:t>
      </w:r>
      <w:r w:rsidRPr="004D03BF">
        <w:rPr>
          <w:b/>
          <w:bCs/>
        </w:rPr>
        <w:t>Obveze za nabavu nefinancijske</w:t>
      </w:r>
      <w:r>
        <w:rPr>
          <w:b/>
          <w:bCs/>
        </w:rPr>
        <w:t xml:space="preserve"> </w:t>
      </w:r>
      <w:r w:rsidRPr="004D03BF">
        <w:rPr>
          <w:b/>
          <w:bCs/>
        </w:rPr>
        <w:t>imovine</w:t>
      </w:r>
      <w:r w:rsidR="00F37392">
        <w:rPr>
          <w:b/>
          <w:bCs/>
        </w:rPr>
        <w:t xml:space="preserve"> – AOP 183</w:t>
      </w:r>
    </w:p>
    <w:p w14:paraId="4FB083D9" w14:textId="124327E6" w:rsidR="000D3E4E" w:rsidRPr="000D3E4E" w:rsidRDefault="000D3E4E" w:rsidP="00EE205F">
      <w:pPr>
        <w:jc w:val="both"/>
      </w:pPr>
      <w:r w:rsidRPr="000D3E4E">
        <w:t>Obveze za nabavu nefinancijske imovine</w:t>
      </w:r>
      <w:r w:rsidR="00F37392">
        <w:t xml:space="preserve"> </w:t>
      </w:r>
      <w:r w:rsidR="00F37392" w:rsidRPr="00F37392">
        <w:t>na dan 31.12.2021. iznose</w:t>
      </w:r>
      <w:r w:rsidR="00F37392">
        <w:t xml:space="preserve"> 196.577,50 HRK.</w:t>
      </w:r>
    </w:p>
    <w:p w14:paraId="35826C57" w14:textId="1B3203D0" w:rsidR="004D03BF" w:rsidRDefault="004D03BF" w:rsidP="00EE205F">
      <w:pPr>
        <w:jc w:val="both"/>
        <w:rPr>
          <w:b/>
          <w:bCs/>
        </w:rPr>
      </w:pPr>
      <w:r>
        <w:rPr>
          <w:b/>
          <w:bCs/>
        </w:rPr>
        <w:t xml:space="preserve">26 </w:t>
      </w:r>
      <w:r w:rsidRPr="004D03BF">
        <w:rPr>
          <w:b/>
          <w:bCs/>
        </w:rPr>
        <w:t>Obveze za kredite i zajmove</w:t>
      </w:r>
      <w:r w:rsidR="00F37392">
        <w:rPr>
          <w:b/>
          <w:bCs/>
        </w:rPr>
        <w:t xml:space="preserve"> – AOP 200</w:t>
      </w:r>
    </w:p>
    <w:p w14:paraId="69F60FA7" w14:textId="7EA5333A" w:rsidR="00F37392" w:rsidRDefault="000D3E4E" w:rsidP="00EE205F">
      <w:pPr>
        <w:jc w:val="both"/>
      </w:pPr>
      <w:r>
        <w:t xml:space="preserve">Obveze za kredite i zajmove </w:t>
      </w:r>
      <w:r w:rsidR="00F37392" w:rsidRPr="00F37392">
        <w:t xml:space="preserve">na dan 31.12.2021. iznose </w:t>
      </w:r>
      <w:r w:rsidR="00F37392">
        <w:t xml:space="preserve">353.213.672,32 HRK, </w:t>
      </w:r>
      <w:r>
        <w:t xml:space="preserve">Lučka uprava Ploče na ovoj poziciji iskazuje obveze po kreditima i zajmovima u zemlji i inozemstvu. </w:t>
      </w:r>
      <w:r w:rsidR="00F37392">
        <w:t xml:space="preserve">Na ovoj poziciji su obveze za otplatu glavnice zajma Svjetske banke br. 8077-HR čija su sredstva iskorištena za razvoj lučke infrastrukture u sklopu projekt Integracije trgovine i transporta. </w:t>
      </w:r>
      <w:r w:rsidR="00F37392" w:rsidRPr="00F37392">
        <w:t xml:space="preserve">Stanje duga po Zajmu 8077-HR iznosi 46.987.561,06 EUR-a, prva otplata dospijeva 15. studenog 2023. godine a zadnja 15. svibnja 2034. godine. Otplatu  glavnice Zajama Lučka uprava otplaćuje </w:t>
      </w:r>
      <w:r w:rsidR="009F7DEE">
        <w:t xml:space="preserve">polugodišnje </w:t>
      </w:r>
      <w:r w:rsidR="00F37392" w:rsidRPr="00F37392">
        <w:t xml:space="preserve">uz potporu iz Proračuna RH, te u manjem postotku i iz vlastitih sredstava, a kamate </w:t>
      </w:r>
      <w:r w:rsidR="009F7DEE">
        <w:t xml:space="preserve">po zajmu </w:t>
      </w:r>
      <w:r w:rsidR="00F37392" w:rsidRPr="00F37392">
        <w:t>u cijelosti podmiruje iz vlastitih sredstava.</w:t>
      </w:r>
    </w:p>
    <w:p w14:paraId="2AF348E0" w14:textId="532FC06E" w:rsidR="004D03BF" w:rsidRDefault="000D3E4E" w:rsidP="00EE205F">
      <w:pPr>
        <w:jc w:val="both"/>
      </w:pPr>
      <w:r>
        <w:t xml:space="preserve">Iznosi obveza po kreditima i zajmovima u stranoj valuti  iskazuju se po srednjem tečaju HNB-a za ugovorenu valutu na datum bilance, a nerealizirana tečajna razlika </w:t>
      </w:r>
      <w:r w:rsidR="00446DA2">
        <w:t xml:space="preserve">na računima obračunatih prihoda odnosno rashoda poslovanja. </w:t>
      </w:r>
    </w:p>
    <w:p w14:paraId="65763723" w14:textId="63135AAB" w:rsidR="00446DA2" w:rsidRDefault="00446DA2" w:rsidP="00EE205F">
      <w:pPr>
        <w:jc w:val="both"/>
        <w:rPr>
          <w:b/>
          <w:bCs/>
        </w:rPr>
      </w:pPr>
      <w:r w:rsidRPr="00446DA2">
        <w:rPr>
          <w:b/>
          <w:bCs/>
        </w:rPr>
        <w:t>29 Obračunati rashodi koji nisu fakturirani, a terete tekuće razdoblje</w:t>
      </w:r>
      <w:r w:rsidR="009F7DEE">
        <w:rPr>
          <w:b/>
          <w:bCs/>
        </w:rPr>
        <w:t xml:space="preserve"> – AOP 228</w:t>
      </w:r>
    </w:p>
    <w:p w14:paraId="3C93D7E2" w14:textId="64C1F921" w:rsidR="00446DA2" w:rsidRPr="00446DA2" w:rsidRDefault="00446DA2" w:rsidP="00EE205F">
      <w:pPr>
        <w:jc w:val="both"/>
      </w:pPr>
      <w:r w:rsidRPr="00446DA2">
        <w:t>Obračunati rashodi koji nisu fakturirani</w:t>
      </w:r>
      <w:r>
        <w:t xml:space="preserve">, </w:t>
      </w:r>
      <w:r w:rsidRPr="00446DA2">
        <w:t>a terete tekuće razdoblje</w:t>
      </w:r>
      <w:r>
        <w:t xml:space="preserve"> odnose se na </w:t>
      </w:r>
      <w:r w:rsidRPr="00446DA2">
        <w:t xml:space="preserve">obračunate nedospjele kamate </w:t>
      </w:r>
      <w:r>
        <w:t>za zajam Svjetske banke br. 8077-HR</w:t>
      </w:r>
      <w:r w:rsidR="009F7DEE">
        <w:t xml:space="preserve"> u iznosu 92.227,98 HRK (12.268,97 EUR)</w:t>
      </w:r>
      <w:r>
        <w:t xml:space="preserve">. Ovi rashodi se odnose na  tekuće razdoblje, a dospijevaju u sljedećim razdobljima kada će se po primitku uredne isprave iskazati na obvezama. </w:t>
      </w:r>
    </w:p>
    <w:p w14:paraId="67620BCE" w14:textId="47EE3621" w:rsidR="004D03BF" w:rsidRDefault="004D03BF" w:rsidP="00EE205F">
      <w:pPr>
        <w:jc w:val="both"/>
        <w:rPr>
          <w:b/>
          <w:bCs/>
        </w:rPr>
      </w:pPr>
      <w:r>
        <w:rPr>
          <w:b/>
          <w:bCs/>
        </w:rPr>
        <w:t>9 V</w:t>
      </w:r>
      <w:r w:rsidRPr="004D03BF">
        <w:rPr>
          <w:b/>
          <w:bCs/>
        </w:rPr>
        <w:t>lastiti izvori</w:t>
      </w:r>
      <w:r w:rsidR="00CC01D2">
        <w:rPr>
          <w:b/>
          <w:bCs/>
        </w:rPr>
        <w:t xml:space="preserve">  -AOP 231</w:t>
      </w:r>
    </w:p>
    <w:p w14:paraId="4ACCB9C1" w14:textId="442D7333" w:rsidR="00FD2B27" w:rsidRDefault="00CC01D2" w:rsidP="00FD2B27">
      <w:pPr>
        <w:jc w:val="both"/>
      </w:pPr>
      <w:r w:rsidRPr="00FD2B27">
        <w:t xml:space="preserve">Stanje vlastitih izvora na dan 31.1.2021. iznosi </w:t>
      </w:r>
      <w:r w:rsidR="00FD2B27" w:rsidRPr="00FD2B27">
        <w:t>922.997.651,89 HRK</w:t>
      </w:r>
      <w:r w:rsidR="00FD2B27">
        <w:t xml:space="preserve">. </w:t>
      </w:r>
      <w:r w:rsidR="00437789" w:rsidRPr="00437789">
        <w:t>Vlastiti izvori su razlika između imovine i obveza.</w:t>
      </w:r>
      <w:r w:rsidR="00437789">
        <w:t xml:space="preserve"> </w:t>
      </w:r>
      <w:r w:rsidR="00FD2B27">
        <w:t xml:space="preserve">Izvori su trajni izvori imovine Lučke uprave Ploče koju je dobila od osnivača Republike </w:t>
      </w:r>
      <w:r w:rsidR="00FD2B27">
        <w:lastRenderedPageBreak/>
        <w:t>Hrvatske; diobom imovine od DP Luke Ploče (lučka infrastruktura i suprastruktura); donacijama iz proračuna RH, pomoćima iz EU te iz ostalih izvora (obračunati penali po ugovorima o građenju). Izvori se umanjuju za obračunati ispravak vrijednosti nefinancijske imovine i za otplatu dugoročnih kredita i zajmova.</w:t>
      </w:r>
    </w:p>
    <w:p w14:paraId="0A6566CB" w14:textId="426FBD86" w:rsidR="00437789" w:rsidRPr="007A7E49" w:rsidRDefault="00437789" w:rsidP="00FD2B27">
      <w:pPr>
        <w:jc w:val="both"/>
      </w:pPr>
      <w:r w:rsidRPr="00437789">
        <w:t>Vrijednost dugotrajne imovine ispravlja se po prosječnim godišnjim stopama linearnom metodom, prema stopama ispravka vrijednosti dugotrajne imovine utvrđenima Pravilnikom o proračunskom računovodstvu i Računskom planu. Vrijednosti prirodnih bogatstava (podskupina 011), knjiga, umjetničkih djela i ostalih izložbenih vrijednosti (podskupina 024) te plemenitih metala i ostalih pohranjenih vrijednosti (skupina 03) u pravilu se ne ispravljaju. Osnovica za otpis dugotrajne imovine jest njen početni ili revalorizirani trošak nabave (nabavna vrijednost) odnosno procijenjena vrijednost. Početak ispravka vrijednosti dugotrajne nefinancijske imovine je prvi dan mjeseca koji slijedi iza mjeseca u kojem je sredstvo stavljeno u uporabu. Za ispravak vrijednosti imovine umanjuju se vlastiti izvori.</w:t>
      </w:r>
    </w:p>
    <w:p w14:paraId="3F35B425" w14:textId="7D10B15B" w:rsidR="007A7E49" w:rsidRDefault="007A7E49" w:rsidP="00EE205F">
      <w:pPr>
        <w:jc w:val="both"/>
        <w:rPr>
          <w:b/>
          <w:bCs/>
        </w:rPr>
      </w:pPr>
      <w:r>
        <w:rPr>
          <w:b/>
          <w:bCs/>
        </w:rPr>
        <w:t xml:space="preserve">91 </w:t>
      </w:r>
      <w:r w:rsidRPr="004D03BF">
        <w:rPr>
          <w:b/>
          <w:bCs/>
        </w:rPr>
        <w:t>Vlastiti izvor</w:t>
      </w:r>
      <w:r>
        <w:rPr>
          <w:b/>
          <w:bCs/>
        </w:rPr>
        <w:t xml:space="preserve">i </w:t>
      </w:r>
      <w:r w:rsidRPr="00446DA2">
        <w:rPr>
          <w:b/>
          <w:bCs/>
        </w:rPr>
        <w:t>i ispravak vlastitih izvora</w:t>
      </w:r>
      <w:r w:rsidR="00CC01D2">
        <w:rPr>
          <w:b/>
          <w:bCs/>
        </w:rPr>
        <w:t xml:space="preserve"> – AOP 232</w:t>
      </w:r>
    </w:p>
    <w:p w14:paraId="09D1D367" w14:textId="2072D3A3" w:rsidR="00FD2B27" w:rsidRDefault="00437789" w:rsidP="00EE205F">
      <w:pPr>
        <w:jc w:val="both"/>
      </w:pPr>
      <w:r>
        <w:t>Stanje v</w:t>
      </w:r>
      <w:r w:rsidRPr="00437789">
        <w:t>lastiti</w:t>
      </w:r>
      <w:r>
        <w:t>h</w:t>
      </w:r>
      <w:r w:rsidRPr="00437789">
        <w:t xml:space="preserve"> izvor</w:t>
      </w:r>
      <w:r>
        <w:t>a</w:t>
      </w:r>
      <w:r w:rsidRPr="00437789">
        <w:t xml:space="preserve"> i isprav</w:t>
      </w:r>
      <w:r>
        <w:t>ka</w:t>
      </w:r>
      <w:r w:rsidRPr="00437789">
        <w:t xml:space="preserve"> vlastitih izvora</w:t>
      </w:r>
      <w:r>
        <w:t xml:space="preserve"> na dan 31.12.2021. iznosi </w:t>
      </w:r>
      <w:r w:rsidR="00FD2B27">
        <w:t>906.119.225,91 HRK.</w:t>
      </w:r>
    </w:p>
    <w:p w14:paraId="1B165033" w14:textId="1FDB764E" w:rsidR="004D03BF" w:rsidRDefault="004D03BF" w:rsidP="00EE205F">
      <w:pPr>
        <w:jc w:val="both"/>
        <w:rPr>
          <w:b/>
          <w:bCs/>
        </w:rPr>
      </w:pPr>
      <w:r>
        <w:rPr>
          <w:b/>
          <w:bCs/>
        </w:rPr>
        <w:t xml:space="preserve">92 </w:t>
      </w:r>
      <w:r w:rsidR="007A7E49">
        <w:rPr>
          <w:b/>
          <w:bCs/>
        </w:rPr>
        <w:t>Rezultat poslovanja</w:t>
      </w:r>
      <w:r w:rsidR="0033785D">
        <w:rPr>
          <w:b/>
          <w:bCs/>
        </w:rPr>
        <w:t xml:space="preserve"> – AOP 241-247</w:t>
      </w:r>
    </w:p>
    <w:p w14:paraId="725A5FCD" w14:textId="56303612" w:rsidR="007A7E49" w:rsidRDefault="00B93A78" w:rsidP="00EE205F">
      <w:pPr>
        <w:jc w:val="both"/>
      </w:pPr>
      <w:r>
        <w:t>Na kraju izvještajnog razdoblja utvrđuje se rezultat poslovanja.</w:t>
      </w:r>
      <w:r w:rsidR="00FB17A6">
        <w:t xml:space="preserve"> </w:t>
      </w:r>
      <w:r w:rsidR="00FB17A6" w:rsidRPr="00FB17A6">
        <w:t xml:space="preserve">Knjigovodstveni postupka utvrđivanja financijskog rezultata </w:t>
      </w:r>
      <w:r w:rsidR="00FB17A6">
        <w:t xml:space="preserve">proveden je u skladu sa </w:t>
      </w:r>
      <w:r w:rsidR="00FB17A6" w:rsidRPr="00FB17A6">
        <w:t xml:space="preserve"> člancima 81.-84. Pravilnika o proračunskom računovodstvu i Računskom planu.</w:t>
      </w:r>
      <w:r w:rsidR="00FB17A6">
        <w:t xml:space="preserve"> </w:t>
      </w:r>
    </w:p>
    <w:p w14:paraId="283B2BE9" w14:textId="3E77CFC8" w:rsidR="00FB17A6" w:rsidRDefault="00FB17A6" w:rsidP="00EE205F">
      <w:pPr>
        <w:jc w:val="both"/>
      </w:pPr>
      <w:r>
        <w:t>Na dan 31.12.2021. ostvareni su rezultati kako slijedi:</w:t>
      </w:r>
    </w:p>
    <w:tbl>
      <w:tblPr>
        <w:tblStyle w:val="Reetkatablice"/>
        <w:tblW w:w="0" w:type="auto"/>
        <w:tblLook w:val="04A0" w:firstRow="1" w:lastRow="0" w:firstColumn="1" w:lastColumn="0" w:noHBand="0" w:noVBand="1"/>
      </w:tblPr>
      <w:tblGrid>
        <w:gridCol w:w="4106"/>
        <w:gridCol w:w="2552"/>
      </w:tblGrid>
      <w:tr w:rsidR="00FB17A6" w14:paraId="545BC146" w14:textId="77777777" w:rsidTr="00FB17A6">
        <w:tc>
          <w:tcPr>
            <w:tcW w:w="4106" w:type="dxa"/>
          </w:tcPr>
          <w:p w14:paraId="233B92C5" w14:textId="3C89324C" w:rsidR="00FB17A6" w:rsidRDefault="00FB17A6" w:rsidP="00EE205F">
            <w:pPr>
              <w:jc w:val="both"/>
            </w:pPr>
            <w:r>
              <w:t>Višak prihoda poslovanja</w:t>
            </w:r>
          </w:p>
        </w:tc>
        <w:tc>
          <w:tcPr>
            <w:tcW w:w="2552" w:type="dxa"/>
          </w:tcPr>
          <w:p w14:paraId="3F7A5D58" w14:textId="484133EF" w:rsidR="00FB17A6" w:rsidRDefault="00FB17A6" w:rsidP="00FB17A6">
            <w:pPr>
              <w:jc w:val="right"/>
            </w:pPr>
            <w:r>
              <w:t>68.992.298,98 HRK</w:t>
            </w:r>
          </w:p>
        </w:tc>
      </w:tr>
      <w:tr w:rsidR="00FB17A6" w14:paraId="2985C233" w14:textId="77777777" w:rsidTr="00FB17A6">
        <w:tc>
          <w:tcPr>
            <w:tcW w:w="4106" w:type="dxa"/>
          </w:tcPr>
          <w:p w14:paraId="5F127F22" w14:textId="222731E4" w:rsidR="00FB17A6" w:rsidRDefault="00FB17A6" w:rsidP="00EE205F">
            <w:pPr>
              <w:jc w:val="both"/>
            </w:pPr>
            <w:r w:rsidRPr="00FB17A6">
              <w:t>Manjak prihoda od nefinancijske imovine</w:t>
            </w:r>
          </w:p>
        </w:tc>
        <w:tc>
          <w:tcPr>
            <w:tcW w:w="2552" w:type="dxa"/>
          </w:tcPr>
          <w:p w14:paraId="63A419FC" w14:textId="4B644623" w:rsidR="00FB17A6" w:rsidRDefault="00FB17A6" w:rsidP="00FB17A6">
            <w:pPr>
              <w:jc w:val="right"/>
            </w:pPr>
            <w:r>
              <w:t>6.084.218,47 HRK</w:t>
            </w:r>
          </w:p>
        </w:tc>
      </w:tr>
      <w:tr w:rsidR="00FB17A6" w14:paraId="7CA62A50" w14:textId="77777777" w:rsidTr="00FB17A6">
        <w:tc>
          <w:tcPr>
            <w:tcW w:w="4106" w:type="dxa"/>
          </w:tcPr>
          <w:p w14:paraId="0B77D65A" w14:textId="2D88FF90" w:rsidR="00FB17A6" w:rsidRDefault="00FB17A6" w:rsidP="00EE205F">
            <w:pPr>
              <w:jc w:val="both"/>
            </w:pPr>
            <w:r w:rsidRPr="00FB17A6">
              <w:t>Manjak primitaka od financijske imovine</w:t>
            </w:r>
          </w:p>
        </w:tc>
        <w:tc>
          <w:tcPr>
            <w:tcW w:w="2552" w:type="dxa"/>
          </w:tcPr>
          <w:p w14:paraId="0F66FA8A" w14:textId="5003BE34" w:rsidR="00FB17A6" w:rsidRDefault="00FB17A6" w:rsidP="00FB17A6">
            <w:pPr>
              <w:jc w:val="right"/>
            </w:pPr>
            <w:r>
              <w:t>52.088.758,56 HRK</w:t>
            </w:r>
          </w:p>
        </w:tc>
      </w:tr>
    </w:tbl>
    <w:p w14:paraId="125762CE" w14:textId="77777777" w:rsidR="00FB17A6" w:rsidRDefault="00FB17A6" w:rsidP="00EE205F">
      <w:pPr>
        <w:jc w:val="both"/>
      </w:pPr>
    </w:p>
    <w:p w14:paraId="127383C9" w14:textId="05DF059D" w:rsidR="004D03BF" w:rsidRDefault="004D03BF" w:rsidP="00EE205F">
      <w:pPr>
        <w:jc w:val="both"/>
        <w:rPr>
          <w:b/>
          <w:bCs/>
        </w:rPr>
      </w:pPr>
      <w:r>
        <w:rPr>
          <w:b/>
          <w:bCs/>
        </w:rPr>
        <w:t xml:space="preserve">93 </w:t>
      </w:r>
      <w:r w:rsidRPr="004D03BF">
        <w:rPr>
          <w:b/>
          <w:bCs/>
        </w:rPr>
        <w:t>Obračunati rashodi poslovanja</w:t>
      </w:r>
      <w:r w:rsidR="0033785D">
        <w:rPr>
          <w:b/>
          <w:bCs/>
        </w:rPr>
        <w:t xml:space="preserve"> – AOP 248</w:t>
      </w:r>
    </w:p>
    <w:p w14:paraId="78E8B32C" w14:textId="12423C51" w:rsidR="00437789" w:rsidRDefault="00FB17A6" w:rsidP="00EE205F">
      <w:pPr>
        <w:jc w:val="both"/>
        <w:rPr>
          <w:b/>
          <w:bCs/>
        </w:rPr>
      </w:pPr>
      <w:r w:rsidRPr="0067525F">
        <w:t>Razlike koje su rezultat svođenja na tečaj na datum bilance, potraživanja i obveza su</w:t>
      </w:r>
      <w:r w:rsidRPr="002C3445">
        <w:t xml:space="preserve"> nerealizirane tečajne razlike i nerealizirane razlike zbog primjene valutne klauzule koje se ne priznaju kao prihod odnosno rashod jer nisu raspoložive. </w:t>
      </w:r>
      <w:r w:rsidR="006E7E1D">
        <w:t>N</w:t>
      </w:r>
      <w:r w:rsidRPr="002C3445">
        <w:t>egativne razlike se iskazuju kao obračunati rashod u okviru podskupine 934 Obračunate negativne tečajne razlike i razlike zbog primjene valutne klauzule</w:t>
      </w:r>
      <w:r>
        <w:t xml:space="preserve">, </w:t>
      </w:r>
      <w:r w:rsidR="006E7E1D">
        <w:t>a na dan 31.1.2021. iznose 1.538.922,89 HRK.</w:t>
      </w:r>
    </w:p>
    <w:p w14:paraId="75F02085" w14:textId="2F05BFC1" w:rsidR="004D03BF" w:rsidRDefault="004D03BF" w:rsidP="00EE205F">
      <w:pPr>
        <w:jc w:val="both"/>
        <w:rPr>
          <w:b/>
          <w:bCs/>
        </w:rPr>
      </w:pPr>
      <w:r>
        <w:rPr>
          <w:b/>
          <w:bCs/>
        </w:rPr>
        <w:t xml:space="preserve">96 </w:t>
      </w:r>
      <w:r w:rsidRPr="004D03BF">
        <w:rPr>
          <w:b/>
          <w:bCs/>
        </w:rPr>
        <w:t>Obračunati prihodi poslovanja</w:t>
      </w:r>
      <w:r w:rsidR="0033785D">
        <w:rPr>
          <w:b/>
          <w:bCs/>
        </w:rPr>
        <w:t xml:space="preserve"> – AOP 249</w:t>
      </w:r>
    </w:p>
    <w:p w14:paraId="24267F81" w14:textId="3064667D" w:rsidR="006E7E1D" w:rsidRDefault="006E7E1D" w:rsidP="00EE205F">
      <w:pPr>
        <w:jc w:val="both"/>
      </w:pPr>
      <w:r>
        <w:t>Obračunati prihodi poslovanja na dan 31.12.2021. iznose 7.594.025,92 HRK, prema sljedećoj strukturi:</w:t>
      </w:r>
    </w:p>
    <w:tbl>
      <w:tblPr>
        <w:tblStyle w:val="Reetkatablice"/>
        <w:tblW w:w="0" w:type="auto"/>
        <w:tblLook w:val="04A0" w:firstRow="1" w:lastRow="0" w:firstColumn="1" w:lastColumn="0" w:noHBand="0" w:noVBand="1"/>
      </w:tblPr>
      <w:tblGrid>
        <w:gridCol w:w="4508"/>
        <w:gridCol w:w="2008"/>
      </w:tblGrid>
      <w:tr w:rsidR="006E7E1D" w:rsidRPr="00A233D5" w14:paraId="4E172320" w14:textId="77777777" w:rsidTr="00705FDB">
        <w:tc>
          <w:tcPr>
            <w:tcW w:w="4508" w:type="dxa"/>
          </w:tcPr>
          <w:p w14:paraId="2BA623C5" w14:textId="77777777" w:rsidR="006E7E1D" w:rsidRPr="00A233D5" w:rsidRDefault="006E7E1D" w:rsidP="00705FDB">
            <w:pPr>
              <w:jc w:val="center"/>
              <w:rPr>
                <w:b/>
                <w:bCs/>
              </w:rPr>
            </w:pPr>
            <w:r w:rsidRPr="00A233D5">
              <w:rPr>
                <w:b/>
                <w:bCs/>
              </w:rPr>
              <w:t>Opis</w:t>
            </w:r>
          </w:p>
        </w:tc>
        <w:tc>
          <w:tcPr>
            <w:tcW w:w="2008" w:type="dxa"/>
          </w:tcPr>
          <w:p w14:paraId="1FB717C2" w14:textId="77777777" w:rsidR="006E7E1D" w:rsidRPr="00A233D5" w:rsidRDefault="006E7E1D" w:rsidP="00705FDB">
            <w:pPr>
              <w:jc w:val="center"/>
              <w:rPr>
                <w:b/>
                <w:bCs/>
              </w:rPr>
            </w:pPr>
            <w:r w:rsidRPr="00A233D5">
              <w:rPr>
                <w:b/>
                <w:bCs/>
              </w:rPr>
              <w:t>2021</w:t>
            </w:r>
          </w:p>
        </w:tc>
      </w:tr>
      <w:tr w:rsidR="006E7E1D" w14:paraId="6720963E" w14:textId="77777777" w:rsidTr="00705FDB">
        <w:tc>
          <w:tcPr>
            <w:tcW w:w="4508" w:type="dxa"/>
          </w:tcPr>
          <w:p w14:paraId="68AB5E8F" w14:textId="77777777" w:rsidR="006E7E1D" w:rsidRDefault="006E7E1D" w:rsidP="00705FDB">
            <w:pPr>
              <w:jc w:val="both"/>
            </w:pPr>
            <w:r w:rsidRPr="00A233D5">
              <w:t>Potraživanja za pomoći iz inozemstva i od subjekata unutar općeg proračuna</w:t>
            </w:r>
          </w:p>
        </w:tc>
        <w:tc>
          <w:tcPr>
            <w:tcW w:w="2008" w:type="dxa"/>
          </w:tcPr>
          <w:p w14:paraId="11578F49" w14:textId="77777777" w:rsidR="006E7E1D" w:rsidRDefault="006E7E1D" w:rsidP="00705FDB">
            <w:pPr>
              <w:jc w:val="right"/>
            </w:pPr>
            <w:r>
              <w:t>1.658.685,48</w:t>
            </w:r>
          </w:p>
        </w:tc>
      </w:tr>
      <w:tr w:rsidR="006E7E1D" w14:paraId="16F9448E" w14:textId="77777777" w:rsidTr="00705FDB">
        <w:tc>
          <w:tcPr>
            <w:tcW w:w="4508" w:type="dxa"/>
          </w:tcPr>
          <w:p w14:paraId="6830C79A" w14:textId="77777777" w:rsidR="006E7E1D" w:rsidRDefault="006E7E1D" w:rsidP="00705FDB">
            <w:pPr>
              <w:jc w:val="both"/>
            </w:pPr>
            <w:r w:rsidRPr="00A233D5">
              <w:t>Potraživanja za prihode od imovine</w:t>
            </w:r>
          </w:p>
        </w:tc>
        <w:tc>
          <w:tcPr>
            <w:tcW w:w="2008" w:type="dxa"/>
          </w:tcPr>
          <w:p w14:paraId="32663B2F" w14:textId="6C554C1B" w:rsidR="006E7E1D" w:rsidRDefault="006E7E1D" w:rsidP="00705FDB">
            <w:pPr>
              <w:jc w:val="right"/>
            </w:pPr>
            <w:r>
              <w:t>3.507.503,10</w:t>
            </w:r>
          </w:p>
        </w:tc>
      </w:tr>
      <w:tr w:rsidR="006E7E1D" w14:paraId="105C759B" w14:textId="77777777" w:rsidTr="00705FDB">
        <w:tc>
          <w:tcPr>
            <w:tcW w:w="4508" w:type="dxa"/>
          </w:tcPr>
          <w:p w14:paraId="73C7C430" w14:textId="77777777" w:rsidR="006E7E1D" w:rsidRPr="00A233D5" w:rsidRDefault="006E7E1D" w:rsidP="00705FDB">
            <w:pPr>
              <w:jc w:val="both"/>
            </w:pPr>
            <w:r w:rsidRPr="00A233D5">
              <w:lastRenderedPageBreak/>
              <w:t>Potraživanja za upravne i administrativne pristojbe, pristojbe po posebnim propisima i naknade</w:t>
            </w:r>
          </w:p>
        </w:tc>
        <w:tc>
          <w:tcPr>
            <w:tcW w:w="2008" w:type="dxa"/>
          </w:tcPr>
          <w:p w14:paraId="51BE6604" w14:textId="21F0DC61" w:rsidR="006E7E1D" w:rsidRDefault="006E7E1D" w:rsidP="00705FDB">
            <w:pPr>
              <w:jc w:val="right"/>
            </w:pPr>
            <w:r>
              <w:t>2.339.733,10</w:t>
            </w:r>
          </w:p>
        </w:tc>
      </w:tr>
      <w:tr w:rsidR="006E7E1D" w14:paraId="7F4E7A6E" w14:textId="77777777" w:rsidTr="00705FDB">
        <w:tc>
          <w:tcPr>
            <w:tcW w:w="4508" w:type="dxa"/>
          </w:tcPr>
          <w:p w14:paraId="46188018" w14:textId="77777777" w:rsidR="006E7E1D" w:rsidRPr="00A233D5" w:rsidRDefault="006E7E1D" w:rsidP="00705FDB">
            <w:pPr>
              <w:jc w:val="both"/>
            </w:pPr>
            <w:r w:rsidRPr="00A233D5">
              <w:t>Potraživanja za prihode od prodaje proizvoda i robe te pruženih usluga</w:t>
            </w:r>
          </w:p>
        </w:tc>
        <w:tc>
          <w:tcPr>
            <w:tcW w:w="2008" w:type="dxa"/>
          </w:tcPr>
          <w:p w14:paraId="34F6E8D1" w14:textId="3D346267" w:rsidR="006E7E1D" w:rsidRDefault="006E7E1D" w:rsidP="00705FDB">
            <w:pPr>
              <w:jc w:val="right"/>
            </w:pPr>
            <w:r>
              <w:t xml:space="preserve">65.966,77 </w:t>
            </w:r>
          </w:p>
        </w:tc>
      </w:tr>
      <w:tr w:rsidR="006E7E1D" w14:paraId="5D3D6058" w14:textId="77777777" w:rsidTr="00705FDB">
        <w:tc>
          <w:tcPr>
            <w:tcW w:w="4508" w:type="dxa"/>
          </w:tcPr>
          <w:p w14:paraId="00BBCC5F" w14:textId="406848E0" w:rsidR="006E7E1D" w:rsidRPr="00A233D5" w:rsidRDefault="006E7E1D" w:rsidP="00705FDB">
            <w:pPr>
              <w:jc w:val="both"/>
            </w:pPr>
            <w:r>
              <w:t>Ostali prihodi</w:t>
            </w:r>
          </w:p>
        </w:tc>
        <w:tc>
          <w:tcPr>
            <w:tcW w:w="2008" w:type="dxa"/>
          </w:tcPr>
          <w:p w14:paraId="3F9BF61C" w14:textId="1DAFD120" w:rsidR="006E7E1D" w:rsidRDefault="006E7E1D" w:rsidP="00705FDB">
            <w:pPr>
              <w:jc w:val="right"/>
            </w:pPr>
            <w:r>
              <w:t>22.137,47</w:t>
            </w:r>
          </w:p>
        </w:tc>
      </w:tr>
    </w:tbl>
    <w:p w14:paraId="554E8FCC" w14:textId="77777777" w:rsidR="006E7E1D" w:rsidRDefault="006E7E1D" w:rsidP="00EE205F">
      <w:pPr>
        <w:jc w:val="both"/>
      </w:pPr>
    </w:p>
    <w:p w14:paraId="195302E7" w14:textId="4D9E8484" w:rsidR="004D03BF" w:rsidRDefault="00FB17A6" w:rsidP="00EE205F">
      <w:pPr>
        <w:jc w:val="both"/>
        <w:rPr>
          <w:b/>
          <w:bCs/>
        </w:rPr>
      </w:pPr>
      <w:r w:rsidRPr="0067525F">
        <w:t>Razlike koje su rezultat svođenja na tečaj na datum bilance, potraživanja i obveza su</w:t>
      </w:r>
      <w:r w:rsidRPr="002C3445">
        <w:t xml:space="preserve"> nerealizirane tečajne razlike i nerealizirane razlike zbog primjene valutne klauzule koje se ne priznaju kao prihod odnosno rashod jer nisu raspoložive. Pozitivne razlike se iskazuju kao obračunati prihod na osnovnom računu 96415 Prihodi od pozitivnih tečajnih razlika i razlika zbog primjene valutne klauzule,</w:t>
      </w:r>
      <w:r w:rsidR="006E7E1D">
        <w:t xml:space="preserve"> a na dan 31.12.2021. iznose 1.538.782,93 HRK.</w:t>
      </w:r>
    </w:p>
    <w:p w14:paraId="1EA8D84D" w14:textId="4F2B6183" w:rsidR="0033785D" w:rsidRDefault="0033785D" w:rsidP="00EE205F">
      <w:pPr>
        <w:jc w:val="both"/>
        <w:rPr>
          <w:b/>
          <w:bCs/>
        </w:rPr>
      </w:pPr>
      <w:r>
        <w:rPr>
          <w:b/>
          <w:bCs/>
        </w:rPr>
        <w:t>9</w:t>
      </w:r>
      <w:r w:rsidR="00CC5513">
        <w:rPr>
          <w:b/>
          <w:bCs/>
        </w:rPr>
        <w:t>7</w:t>
      </w:r>
      <w:r>
        <w:rPr>
          <w:b/>
          <w:bCs/>
        </w:rPr>
        <w:t xml:space="preserve"> </w:t>
      </w:r>
      <w:r w:rsidRPr="0033785D">
        <w:rPr>
          <w:b/>
          <w:bCs/>
        </w:rPr>
        <w:t>Obračunati prihodi od prodaje nefinancijske imovine</w:t>
      </w:r>
      <w:r>
        <w:rPr>
          <w:b/>
          <w:bCs/>
        </w:rPr>
        <w:t xml:space="preserve"> – AOP 250</w:t>
      </w:r>
    </w:p>
    <w:p w14:paraId="6FCFB9C1" w14:textId="4F19B356" w:rsidR="0033785D" w:rsidRPr="0033785D" w:rsidRDefault="0033785D" w:rsidP="00EE205F">
      <w:pPr>
        <w:jc w:val="both"/>
      </w:pPr>
      <w:r w:rsidRPr="0033785D">
        <w:t>Obračunati prihodi od prodaje nefinancijske imovine</w:t>
      </w:r>
      <w:r>
        <w:t xml:space="preserve"> na dan 31.1.22021. iznose 5.000,00 HRK.</w:t>
      </w:r>
    </w:p>
    <w:p w14:paraId="2B51E3D9" w14:textId="4E7EC170" w:rsidR="004D03BF" w:rsidRDefault="004D03BF" w:rsidP="00EE205F">
      <w:pPr>
        <w:jc w:val="both"/>
        <w:rPr>
          <w:b/>
          <w:bCs/>
        </w:rPr>
      </w:pPr>
      <w:r>
        <w:rPr>
          <w:b/>
          <w:bCs/>
        </w:rPr>
        <w:t xml:space="preserve">99 </w:t>
      </w:r>
      <w:r w:rsidRPr="004D03BF">
        <w:rPr>
          <w:b/>
          <w:bCs/>
        </w:rPr>
        <w:t>Izvanbilančni zapisi</w:t>
      </w:r>
      <w:r w:rsidR="0033785D">
        <w:rPr>
          <w:b/>
          <w:bCs/>
        </w:rPr>
        <w:t xml:space="preserve"> – AOP 252</w:t>
      </w:r>
    </w:p>
    <w:p w14:paraId="0702002E" w14:textId="22627508" w:rsidR="00635CAE" w:rsidRDefault="0033785D" w:rsidP="00EE205F">
      <w:pPr>
        <w:jc w:val="both"/>
      </w:pPr>
      <w:r>
        <w:t>Stanje izvanbilančnih zapisa na dan 31.12.2021. iznosi 1.133.255.978,00 HRK</w:t>
      </w:r>
      <w:r w:rsidR="00635CAE">
        <w:t xml:space="preserve">, a sastoji se od </w:t>
      </w:r>
      <w:r>
        <w:t>tuđ</w:t>
      </w:r>
      <w:r w:rsidR="00635CAE">
        <w:t>e</w:t>
      </w:r>
      <w:r>
        <w:t xml:space="preserve"> imovin</w:t>
      </w:r>
      <w:r w:rsidR="00635CAE">
        <w:t>e</w:t>
      </w:r>
      <w:r>
        <w:t xml:space="preserve"> dobiven</w:t>
      </w:r>
      <w:r w:rsidR="00635CAE">
        <w:t>e</w:t>
      </w:r>
      <w:r>
        <w:t xml:space="preserve"> na korištenje </w:t>
      </w:r>
      <w:r w:rsidR="00635CAE">
        <w:t>u iznosu</w:t>
      </w:r>
      <w:r>
        <w:t xml:space="preserve"> 90.580,00 HRK</w:t>
      </w:r>
      <w:r w:rsidR="00635CAE">
        <w:t xml:space="preserve"> za </w:t>
      </w:r>
      <w:r>
        <w:t>uređaje za ispis koje Lučka uprava Ploče koristi temeljem ugovora o najmu</w:t>
      </w:r>
      <w:r w:rsidR="00635CAE">
        <w:t xml:space="preserve">, dana jamstva u iznosu 750.797.300,00 HRK,  a odnose se na </w:t>
      </w:r>
      <w:r w:rsidR="00635CAE" w:rsidRPr="00635CAE">
        <w:t>a odnose se na</w:t>
      </w:r>
      <w:r w:rsidR="00635CAE">
        <w:t>, instrumente osiguranja plaćanja u iznosu 40.511.121,97 HRK, s</w:t>
      </w:r>
      <w:r w:rsidR="00635CAE" w:rsidRPr="00635CAE">
        <w:t>udski</w:t>
      </w:r>
      <w:r w:rsidR="00635CAE">
        <w:t>h</w:t>
      </w:r>
      <w:r w:rsidR="00635CAE" w:rsidRPr="00635CAE">
        <w:t xml:space="preserve"> sporov</w:t>
      </w:r>
      <w:r w:rsidR="00635CAE">
        <w:t>a</w:t>
      </w:r>
      <w:r w:rsidR="00635CAE" w:rsidRPr="00635CAE">
        <w:t xml:space="preserve"> u tijeku </w:t>
      </w:r>
      <w:r w:rsidR="00635CAE">
        <w:t>u iznosu</w:t>
      </w:r>
      <w:r w:rsidR="00635CAE" w:rsidRPr="00635CAE">
        <w:t xml:space="preserve"> 335.072.985,24 HRK, </w:t>
      </w:r>
      <w:r w:rsidR="00635CAE">
        <w:t>te ostalih izvanbilančnih zapisa u iznosu 6.783.990,79 HRK.</w:t>
      </w:r>
    </w:p>
    <w:p w14:paraId="08D31D3D" w14:textId="49C1E9D1" w:rsidR="00635CAE" w:rsidRPr="0033785D" w:rsidRDefault="00635CAE" w:rsidP="00EE205F">
      <w:pPr>
        <w:jc w:val="both"/>
      </w:pPr>
      <w:r>
        <w:t xml:space="preserve">Najznačajniji iznos se odnosi na zadužnice u korist RH u svrhu dobivanja jamstva za zajam Svjetske banke. Evidencije se prate analitički </w:t>
      </w:r>
      <w:r w:rsidR="004D602F">
        <w:t>po kronološkom redoslijedu zaprimanja istih. Izvanbilančne evidencije sadrže obračunate zatezne kamate do naplate za period od 2017.-2020.</w:t>
      </w:r>
    </w:p>
    <w:p w14:paraId="4B8894AA" w14:textId="36307BD7" w:rsidR="00F31F16" w:rsidRPr="00635CAE" w:rsidRDefault="00635CAE" w:rsidP="00635CAE">
      <w:pPr>
        <w:jc w:val="both"/>
      </w:pPr>
      <w:r w:rsidRPr="00635CAE">
        <w:t>Sudski sporovi u tijeku:</w:t>
      </w:r>
    </w:p>
    <w:tbl>
      <w:tblPr>
        <w:tblStyle w:val="Reetkatablice"/>
        <w:tblW w:w="0" w:type="auto"/>
        <w:tblLook w:val="04A0" w:firstRow="1" w:lastRow="0" w:firstColumn="1" w:lastColumn="0" w:noHBand="0" w:noVBand="1"/>
      </w:tblPr>
      <w:tblGrid>
        <w:gridCol w:w="554"/>
        <w:gridCol w:w="2632"/>
        <w:gridCol w:w="2367"/>
        <w:gridCol w:w="1697"/>
        <w:gridCol w:w="1766"/>
      </w:tblGrid>
      <w:tr w:rsidR="00B470C2" w14:paraId="6E844267" w14:textId="77777777" w:rsidTr="00635CAE">
        <w:tc>
          <w:tcPr>
            <w:tcW w:w="554" w:type="dxa"/>
          </w:tcPr>
          <w:p w14:paraId="40C8AC7A" w14:textId="77777777" w:rsidR="00B470C2" w:rsidRDefault="00B470C2" w:rsidP="00764846">
            <w:pPr>
              <w:rPr>
                <w:b/>
                <w:bCs/>
              </w:rPr>
            </w:pPr>
            <w:bookmarkStart w:id="2" w:name="_Hlk94186872"/>
            <w:bookmarkStart w:id="3" w:name="_Hlk94180812"/>
            <w:bookmarkStart w:id="4" w:name="_Hlk94180994"/>
            <w:bookmarkStart w:id="5" w:name="_Hlk94181033"/>
          </w:p>
        </w:tc>
        <w:tc>
          <w:tcPr>
            <w:tcW w:w="2632" w:type="dxa"/>
          </w:tcPr>
          <w:p w14:paraId="6D8D9072" w14:textId="63612507" w:rsidR="00B470C2" w:rsidRDefault="00B470C2" w:rsidP="00764846">
            <w:pPr>
              <w:rPr>
                <w:b/>
                <w:bCs/>
              </w:rPr>
            </w:pPr>
            <w:r>
              <w:rPr>
                <w:b/>
                <w:bCs/>
              </w:rPr>
              <w:t>BROJ PARNIČNOG PREDMETA</w:t>
            </w:r>
          </w:p>
        </w:tc>
        <w:tc>
          <w:tcPr>
            <w:tcW w:w="2367" w:type="dxa"/>
          </w:tcPr>
          <w:p w14:paraId="6AEB543B" w14:textId="702E0667" w:rsidR="00B470C2" w:rsidRDefault="00B470C2" w:rsidP="00764846">
            <w:pPr>
              <w:rPr>
                <w:b/>
                <w:bCs/>
              </w:rPr>
            </w:pPr>
            <w:r>
              <w:rPr>
                <w:b/>
                <w:bCs/>
              </w:rPr>
              <w:t>OPIS PRIRODE SPORA</w:t>
            </w:r>
          </w:p>
        </w:tc>
        <w:tc>
          <w:tcPr>
            <w:tcW w:w="1697" w:type="dxa"/>
          </w:tcPr>
          <w:p w14:paraId="610B4E26" w14:textId="25B58FF3" w:rsidR="00B470C2" w:rsidRDefault="00B470C2" w:rsidP="00764846">
            <w:pPr>
              <w:rPr>
                <w:b/>
                <w:bCs/>
              </w:rPr>
            </w:pPr>
            <w:r>
              <w:rPr>
                <w:b/>
                <w:bCs/>
              </w:rPr>
              <w:t>PROCIJENJENI FINANCIJSKI UČINAK (u HRK)</w:t>
            </w:r>
          </w:p>
        </w:tc>
        <w:tc>
          <w:tcPr>
            <w:tcW w:w="1766" w:type="dxa"/>
          </w:tcPr>
          <w:p w14:paraId="09C1E53E" w14:textId="6AA3DCB8" w:rsidR="00B470C2" w:rsidRDefault="00B470C2" w:rsidP="00764846">
            <w:pPr>
              <w:rPr>
                <w:b/>
                <w:bCs/>
              </w:rPr>
            </w:pPr>
            <w:r>
              <w:rPr>
                <w:b/>
                <w:bCs/>
              </w:rPr>
              <w:t>PROCIJENJENO VRIJEME ODLIJEVA ILI PRILIJEVA SREDSTAVA</w:t>
            </w:r>
          </w:p>
        </w:tc>
      </w:tr>
      <w:tr w:rsidR="00B470C2" w:rsidRPr="00B470C2" w14:paraId="548ADE9E" w14:textId="77777777" w:rsidTr="00635CAE">
        <w:tc>
          <w:tcPr>
            <w:tcW w:w="554" w:type="dxa"/>
          </w:tcPr>
          <w:p w14:paraId="62F4632D" w14:textId="2B578052" w:rsidR="00B470C2" w:rsidRPr="00B470C2" w:rsidRDefault="00B470C2" w:rsidP="00764846">
            <w:r w:rsidRPr="00B470C2">
              <w:t>1</w:t>
            </w:r>
          </w:p>
        </w:tc>
        <w:tc>
          <w:tcPr>
            <w:tcW w:w="2632" w:type="dxa"/>
          </w:tcPr>
          <w:p w14:paraId="1B250A4C" w14:textId="77777777" w:rsidR="00B470C2" w:rsidRDefault="00B470C2" w:rsidP="00764846">
            <w:r w:rsidRPr="00B470C2">
              <w:t>P-474/2018</w:t>
            </w:r>
          </w:p>
          <w:p w14:paraId="1AFE0E90" w14:textId="77777777" w:rsidR="00B470C2" w:rsidRDefault="00B470C2" w:rsidP="00764846">
            <w:r>
              <w:t>Trgovački sud u Splitu</w:t>
            </w:r>
          </w:p>
          <w:p w14:paraId="3E935C67" w14:textId="77777777" w:rsidR="00B470C2" w:rsidRDefault="00B470C2" w:rsidP="00764846">
            <w:r>
              <w:t>Tužitelj: Lučka uprava Ploče</w:t>
            </w:r>
          </w:p>
          <w:p w14:paraId="4D7C51BD" w14:textId="77777777" w:rsidR="00B470C2" w:rsidRDefault="00B470C2" w:rsidP="00764846">
            <w:r>
              <w:t>Tuženik: STI POPLAR SHIPPING COMPANY LIMITED</w:t>
            </w:r>
          </w:p>
          <w:p w14:paraId="548D95A1" w14:textId="4835A80A" w:rsidR="00436E2F" w:rsidRPr="00B470C2" w:rsidRDefault="00436E2F" w:rsidP="00764846"/>
        </w:tc>
        <w:tc>
          <w:tcPr>
            <w:tcW w:w="2367" w:type="dxa"/>
          </w:tcPr>
          <w:p w14:paraId="0D253320" w14:textId="77777777" w:rsidR="00B470C2" w:rsidRDefault="00B470C2" w:rsidP="00764846">
            <w:r>
              <w:t>Tuž</w:t>
            </w:r>
            <w:r w:rsidR="00A536D9">
              <w:t xml:space="preserve">itelj </w:t>
            </w:r>
            <w:r>
              <w:t>potražuje naknadu štete zbog udara tankera m/b „STI POPLAR“ u obalu terminala tekućih tereta u luci Ploče</w:t>
            </w:r>
            <w:r w:rsidR="00A118B8">
              <w:t>.</w:t>
            </w:r>
          </w:p>
          <w:p w14:paraId="56B22AFC" w14:textId="6CF20289" w:rsidR="00A118B8" w:rsidRPr="00B470C2" w:rsidRDefault="00A118B8" w:rsidP="00764846"/>
        </w:tc>
        <w:tc>
          <w:tcPr>
            <w:tcW w:w="1697" w:type="dxa"/>
          </w:tcPr>
          <w:p w14:paraId="0C27FC29" w14:textId="55405444" w:rsidR="00B470C2" w:rsidRPr="00B470C2" w:rsidRDefault="00B470C2" w:rsidP="00764846">
            <w:r w:rsidRPr="00B470C2">
              <w:t>16.115.340,46</w:t>
            </w:r>
          </w:p>
        </w:tc>
        <w:tc>
          <w:tcPr>
            <w:tcW w:w="1766" w:type="dxa"/>
          </w:tcPr>
          <w:p w14:paraId="207B06BA" w14:textId="28B091DB" w:rsidR="005E18FD" w:rsidRDefault="005E18FD" w:rsidP="00764846">
            <w:r w:rsidRPr="005E18FD">
              <w:t>U tijeku su pregovori radi pokušaja mirnog rješenja spora.</w:t>
            </w:r>
          </w:p>
          <w:p w14:paraId="750178F9" w14:textId="3B90D796" w:rsidR="00B470C2" w:rsidRPr="00B470C2" w:rsidRDefault="005E18FD" w:rsidP="00764846">
            <w:r>
              <w:t>V</w:t>
            </w:r>
            <w:r w:rsidR="00B470C2" w:rsidRPr="00B470C2">
              <w:t>rijeme nije moguće procijeniti</w:t>
            </w:r>
          </w:p>
        </w:tc>
      </w:tr>
      <w:tr w:rsidR="00B470C2" w:rsidRPr="00B470C2" w14:paraId="200A28DA" w14:textId="77777777" w:rsidTr="00635CAE">
        <w:tc>
          <w:tcPr>
            <w:tcW w:w="554" w:type="dxa"/>
          </w:tcPr>
          <w:p w14:paraId="6E8B3E78" w14:textId="56E29ED5" w:rsidR="00B470C2" w:rsidRPr="00B470C2" w:rsidRDefault="00B470C2" w:rsidP="00764846">
            <w:r w:rsidRPr="00B470C2">
              <w:t>2</w:t>
            </w:r>
          </w:p>
        </w:tc>
        <w:tc>
          <w:tcPr>
            <w:tcW w:w="2632" w:type="dxa"/>
          </w:tcPr>
          <w:p w14:paraId="1A0D2D11" w14:textId="77777777" w:rsidR="00B470C2" w:rsidRDefault="00A536D9" w:rsidP="00764846">
            <w:r w:rsidRPr="00A536D9">
              <w:t>P 132/2012</w:t>
            </w:r>
          </w:p>
          <w:p w14:paraId="0D1127C9" w14:textId="77777777" w:rsidR="00A536D9" w:rsidRDefault="00A536D9" w:rsidP="00764846">
            <w:r w:rsidRPr="00A536D9">
              <w:t>Trgovački sud u Splitu</w:t>
            </w:r>
          </w:p>
          <w:p w14:paraId="28159DA8" w14:textId="77777777" w:rsidR="00A536D9" w:rsidRDefault="00A536D9" w:rsidP="00A536D9">
            <w:r>
              <w:t xml:space="preserve">Tužitelj: Lučka uprava Ploče </w:t>
            </w:r>
          </w:p>
          <w:p w14:paraId="6EE87116" w14:textId="604E006F" w:rsidR="00A536D9" w:rsidRPr="00B470C2" w:rsidRDefault="00A536D9" w:rsidP="00A536D9">
            <w:r>
              <w:lastRenderedPageBreak/>
              <w:t>Tuženik: Adriatic osiguranje d.d. (prije Jadransko osiguranje d.d.)</w:t>
            </w:r>
          </w:p>
        </w:tc>
        <w:tc>
          <w:tcPr>
            <w:tcW w:w="2367" w:type="dxa"/>
          </w:tcPr>
          <w:p w14:paraId="7BD12ED9" w14:textId="157E7BD0" w:rsidR="003A37DB" w:rsidRDefault="003A37DB" w:rsidP="00764846">
            <w:r w:rsidRPr="003A37DB">
              <w:lastRenderedPageBreak/>
              <w:t>Pravomoćno okončan spor-tužbeni zahtjev Lučke uprave Ploče usvojen u cijelosti</w:t>
            </w:r>
            <w:r>
              <w:t xml:space="preserve">. </w:t>
            </w:r>
            <w:r w:rsidRPr="00A536D9">
              <w:t xml:space="preserve">Lučka uprava Ploče naplatila je dosuđeni </w:t>
            </w:r>
            <w:r w:rsidRPr="00A536D9">
              <w:lastRenderedPageBreak/>
              <w:t>iznos u cijelosti</w:t>
            </w:r>
            <w:r>
              <w:t>-jamstvo za ozbiljnost ponude za izgradnju kontejnerskog terminala u luci Ploče.</w:t>
            </w:r>
          </w:p>
          <w:p w14:paraId="66473D9E" w14:textId="6335BFCE" w:rsidR="00AE4511" w:rsidRPr="00B470C2" w:rsidRDefault="00AE4511" w:rsidP="003A37DB"/>
        </w:tc>
        <w:tc>
          <w:tcPr>
            <w:tcW w:w="1697" w:type="dxa"/>
          </w:tcPr>
          <w:p w14:paraId="5613D480" w14:textId="30C21FB7" w:rsidR="00B470C2" w:rsidRPr="00B470C2" w:rsidRDefault="00A536D9" w:rsidP="00764846">
            <w:r w:rsidRPr="00A536D9">
              <w:lastRenderedPageBreak/>
              <w:t>13.062.826,30</w:t>
            </w:r>
          </w:p>
        </w:tc>
        <w:tc>
          <w:tcPr>
            <w:tcW w:w="1766" w:type="dxa"/>
          </w:tcPr>
          <w:p w14:paraId="5788BCED" w14:textId="1C1520FC" w:rsidR="00B470C2" w:rsidRDefault="003A37DB" w:rsidP="00764846">
            <w:r>
              <w:t>U tijeku je r</w:t>
            </w:r>
            <w:r w:rsidR="005E18FD" w:rsidRPr="005E18FD">
              <w:t xml:space="preserve">evizijski postupak pred vrhovnim sudom po reviziji tuženika. </w:t>
            </w:r>
            <w:r w:rsidR="005E18FD">
              <w:lastRenderedPageBreak/>
              <w:t>V</w:t>
            </w:r>
            <w:r w:rsidR="0056508E" w:rsidRPr="0056508E">
              <w:t>rijeme nije moguće procijeniti</w:t>
            </w:r>
            <w:r w:rsidR="005E18FD">
              <w:t>.</w:t>
            </w:r>
          </w:p>
          <w:p w14:paraId="51CC273D" w14:textId="369D9C7A" w:rsidR="005E18FD" w:rsidRPr="00B470C2" w:rsidRDefault="005E18FD" w:rsidP="00764846"/>
        </w:tc>
      </w:tr>
      <w:tr w:rsidR="00B470C2" w:rsidRPr="00B470C2" w14:paraId="64F788EF" w14:textId="77777777" w:rsidTr="00635CAE">
        <w:tc>
          <w:tcPr>
            <w:tcW w:w="554" w:type="dxa"/>
          </w:tcPr>
          <w:p w14:paraId="40CDF6EE" w14:textId="4EF43170" w:rsidR="00B470C2" w:rsidRPr="00B470C2" w:rsidRDefault="00B470C2" w:rsidP="00764846">
            <w:r w:rsidRPr="00B470C2">
              <w:lastRenderedPageBreak/>
              <w:t>3</w:t>
            </w:r>
          </w:p>
        </w:tc>
        <w:tc>
          <w:tcPr>
            <w:tcW w:w="2632" w:type="dxa"/>
          </w:tcPr>
          <w:p w14:paraId="20F78CD7" w14:textId="77777777" w:rsidR="00436E2F" w:rsidRDefault="00436E2F" w:rsidP="00436E2F">
            <w:r>
              <w:t xml:space="preserve">P-1283/2018   </w:t>
            </w:r>
          </w:p>
          <w:p w14:paraId="21E1D9FC" w14:textId="35588BCA" w:rsidR="00436E2F" w:rsidRDefault="00436E2F" w:rsidP="00436E2F">
            <w:r>
              <w:t xml:space="preserve">Trgovački sud u Zagrebu </w:t>
            </w:r>
          </w:p>
          <w:p w14:paraId="66F4CF6C" w14:textId="5E613748" w:rsidR="00436E2F" w:rsidRDefault="00436E2F" w:rsidP="00436E2F">
            <w:r>
              <w:t>Tužitelj: Lučka uprava Ploče</w:t>
            </w:r>
          </w:p>
          <w:p w14:paraId="56564F86" w14:textId="77777777" w:rsidR="00B470C2" w:rsidRDefault="00436E2F" w:rsidP="00436E2F">
            <w:r>
              <w:t xml:space="preserve">Tuženik:  VIADUKT d.d. u stečaju </w:t>
            </w:r>
          </w:p>
          <w:p w14:paraId="3886EA18" w14:textId="3FD12A73" w:rsidR="00436E2F" w:rsidRPr="00B470C2" w:rsidRDefault="00436E2F" w:rsidP="00436E2F"/>
        </w:tc>
        <w:tc>
          <w:tcPr>
            <w:tcW w:w="2367" w:type="dxa"/>
          </w:tcPr>
          <w:p w14:paraId="7CD25378" w14:textId="77777777" w:rsidR="00B470C2" w:rsidRDefault="00436E2F" w:rsidP="00436E2F">
            <w:r>
              <w:t>R</w:t>
            </w:r>
            <w:r w:rsidRPr="00436E2F">
              <w:t>adi utvrđenja da je osnovana tražbina za ugovornu kaznu radi kašnjenja u radovima na temelju Ugovora o gradnji terminala rasutih tereta</w:t>
            </w:r>
            <w:r w:rsidR="003A37DB">
              <w:t>.</w:t>
            </w:r>
          </w:p>
          <w:p w14:paraId="2ACF6832" w14:textId="5A2FF4E1" w:rsidR="003A37DB" w:rsidRPr="00B470C2" w:rsidRDefault="003A37DB" w:rsidP="00436E2F"/>
        </w:tc>
        <w:tc>
          <w:tcPr>
            <w:tcW w:w="1697" w:type="dxa"/>
          </w:tcPr>
          <w:p w14:paraId="71DD18F5" w14:textId="6BE61D2C" w:rsidR="00B470C2" w:rsidRPr="00B470C2" w:rsidRDefault="00436E2F" w:rsidP="00764846">
            <w:r w:rsidRPr="00436E2F">
              <w:t>29.267.430,57</w:t>
            </w:r>
          </w:p>
        </w:tc>
        <w:tc>
          <w:tcPr>
            <w:tcW w:w="1766" w:type="dxa"/>
          </w:tcPr>
          <w:p w14:paraId="4A136431" w14:textId="03F49CCC" w:rsidR="00B470C2" w:rsidRPr="00B470C2" w:rsidRDefault="005E18FD" w:rsidP="003A37DB">
            <w:r w:rsidRPr="005E18FD">
              <w:t xml:space="preserve">U tijeku je glavna  rasprava. </w:t>
            </w:r>
            <w:r>
              <w:t>V</w:t>
            </w:r>
            <w:r w:rsidR="0056508E" w:rsidRPr="0056508E">
              <w:t>rijeme nije moguće procijeniti</w:t>
            </w:r>
            <w:r>
              <w:t>.</w:t>
            </w:r>
          </w:p>
        </w:tc>
      </w:tr>
      <w:tr w:rsidR="00B470C2" w:rsidRPr="00B470C2" w14:paraId="6A595C0E" w14:textId="77777777" w:rsidTr="00635CAE">
        <w:tc>
          <w:tcPr>
            <w:tcW w:w="554" w:type="dxa"/>
          </w:tcPr>
          <w:p w14:paraId="074D3090" w14:textId="175BD9C0" w:rsidR="00B470C2" w:rsidRPr="00B470C2" w:rsidRDefault="00436E2F" w:rsidP="00764846">
            <w:r>
              <w:t>4</w:t>
            </w:r>
          </w:p>
        </w:tc>
        <w:tc>
          <w:tcPr>
            <w:tcW w:w="2632" w:type="dxa"/>
          </w:tcPr>
          <w:p w14:paraId="3F2272EC" w14:textId="4E44BBED" w:rsidR="0056508E" w:rsidRDefault="0056508E" w:rsidP="00436E2F">
            <w:r>
              <w:t>P-98/2018</w:t>
            </w:r>
          </w:p>
          <w:p w14:paraId="50CB7C2C" w14:textId="3DEA619E" w:rsidR="00436E2F" w:rsidRDefault="0056508E" w:rsidP="00436E2F">
            <w:r>
              <w:t xml:space="preserve">Trgovački sud u Zagrebu </w:t>
            </w:r>
            <w:r w:rsidR="00436E2F">
              <w:t xml:space="preserve">Tužitelj: BIOM d.o.o. Zagreb </w:t>
            </w:r>
          </w:p>
          <w:p w14:paraId="29678ED5" w14:textId="77777777" w:rsidR="00436E2F" w:rsidRDefault="00436E2F" w:rsidP="00436E2F">
            <w:r>
              <w:t>Tuženik: Lučka uprava Ploče</w:t>
            </w:r>
          </w:p>
          <w:p w14:paraId="04DF5BF9" w14:textId="77777777" w:rsidR="00436E2F" w:rsidRDefault="00436E2F" w:rsidP="00436E2F">
            <w:r>
              <w:t xml:space="preserve">Radi naknade štete </w:t>
            </w:r>
          </w:p>
          <w:p w14:paraId="374CC1D4" w14:textId="4272E323" w:rsidR="00B470C2" w:rsidRPr="00B470C2" w:rsidRDefault="00B470C2" w:rsidP="00436E2F"/>
        </w:tc>
        <w:tc>
          <w:tcPr>
            <w:tcW w:w="2367" w:type="dxa"/>
          </w:tcPr>
          <w:p w14:paraId="0F91BC8E" w14:textId="77777777" w:rsidR="00B470C2" w:rsidRDefault="00436E2F" w:rsidP="00764846">
            <w:r w:rsidRPr="00436E2F">
              <w:t xml:space="preserve">Spor se vodi radi naknade (obične) štete </w:t>
            </w:r>
            <w:r w:rsidR="0056508E">
              <w:t xml:space="preserve">vezano za </w:t>
            </w:r>
            <w:r w:rsidRPr="00436E2F">
              <w:t>koncesiju u svrhu izgradnje i gospodarskog korištenja postrojenja za proizvodnju biodizela na č.z. 2078/45 u Luci Ploče</w:t>
            </w:r>
          </w:p>
          <w:p w14:paraId="16B4C0BA" w14:textId="4BC63FFD" w:rsidR="00F62496" w:rsidRPr="00B470C2" w:rsidRDefault="00F62496" w:rsidP="00764846"/>
        </w:tc>
        <w:tc>
          <w:tcPr>
            <w:tcW w:w="1697" w:type="dxa"/>
          </w:tcPr>
          <w:p w14:paraId="2F5269D3" w14:textId="696A8849" w:rsidR="00B470C2" w:rsidRPr="00B470C2" w:rsidRDefault="00436E2F" w:rsidP="00764846">
            <w:r w:rsidRPr="00436E2F">
              <w:t>39.211.970,83</w:t>
            </w:r>
          </w:p>
        </w:tc>
        <w:tc>
          <w:tcPr>
            <w:tcW w:w="1766" w:type="dxa"/>
          </w:tcPr>
          <w:p w14:paraId="35752583" w14:textId="49BED8B2" w:rsidR="005E18FD" w:rsidRDefault="005E18FD" w:rsidP="00764846">
            <w:r w:rsidRPr="005E18FD">
              <w:t>Glavna rasprava još nije započela.</w:t>
            </w:r>
          </w:p>
          <w:p w14:paraId="07B29DB8" w14:textId="398C05C6" w:rsidR="00B470C2" w:rsidRPr="00B470C2" w:rsidRDefault="005E18FD" w:rsidP="00764846">
            <w:r>
              <w:t>V</w:t>
            </w:r>
            <w:r w:rsidR="0056508E" w:rsidRPr="0056508E">
              <w:t>rijeme nije moguće procijeniti</w:t>
            </w:r>
            <w:r w:rsidR="00F62496">
              <w:t>.</w:t>
            </w:r>
          </w:p>
        </w:tc>
      </w:tr>
      <w:tr w:rsidR="0056508E" w:rsidRPr="00B470C2" w14:paraId="0E37EBD3" w14:textId="77777777" w:rsidTr="00635CAE">
        <w:tc>
          <w:tcPr>
            <w:tcW w:w="554" w:type="dxa"/>
          </w:tcPr>
          <w:p w14:paraId="0146B651" w14:textId="56D0944F" w:rsidR="0056508E" w:rsidRDefault="0056508E" w:rsidP="00764846">
            <w:r>
              <w:t>5.</w:t>
            </w:r>
          </w:p>
        </w:tc>
        <w:tc>
          <w:tcPr>
            <w:tcW w:w="2632" w:type="dxa"/>
          </w:tcPr>
          <w:p w14:paraId="7790DFFB" w14:textId="77777777" w:rsidR="0056508E" w:rsidRDefault="0056508E" w:rsidP="0056508E">
            <w:r>
              <w:t>P-1629/21 1</w:t>
            </w:r>
          </w:p>
          <w:p w14:paraId="18A38059" w14:textId="1EC7F1B8" w:rsidR="0056508E" w:rsidRDefault="0056508E" w:rsidP="0056508E">
            <w:r>
              <w:t xml:space="preserve">Trgovački sud u Zagrebu </w:t>
            </w:r>
          </w:p>
          <w:p w14:paraId="227CA64F" w14:textId="710493BB" w:rsidR="0056508E" w:rsidRDefault="0056508E" w:rsidP="0056508E">
            <w:r>
              <w:t xml:space="preserve">Tužitelj: BIOM d.o.o. Zagreb </w:t>
            </w:r>
          </w:p>
          <w:p w14:paraId="3587CF0E" w14:textId="1D6BBEB1" w:rsidR="00C27119" w:rsidRDefault="0056508E" w:rsidP="0056508E">
            <w:r>
              <w:t>Tuženik:</w:t>
            </w:r>
            <w:r w:rsidR="00C27119">
              <w:t xml:space="preserve"> Republika Hrvatska</w:t>
            </w:r>
          </w:p>
          <w:p w14:paraId="2304F7CC" w14:textId="3A1D1309" w:rsidR="0056508E" w:rsidRDefault="00C27119" w:rsidP="0056508E">
            <w:r>
              <w:t xml:space="preserve">Umiješač tuženika: </w:t>
            </w:r>
            <w:r w:rsidR="0056508E">
              <w:t>Lučka uprava Ploče</w:t>
            </w:r>
          </w:p>
          <w:p w14:paraId="10CCFBE0" w14:textId="4F3F8709" w:rsidR="0056508E" w:rsidRDefault="0056508E" w:rsidP="0056508E"/>
        </w:tc>
        <w:tc>
          <w:tcPr>
            <w:tcW w:w="2367" w:type="dxa"/>
          </w:tcPr>
          <w:p w14:paraId="39DA9D0B" w14:textId="71726BC0" w:rsidR="0056508E" w:rsidRDefault="0056508E" w:rsidP="0056508E">
            <w:r>
              <w:t xml:space="preserve">Radi naknade štete  izmaklih prihoda </w:t>
            </w:r>
            <w:r w:rsidRPr="0056508E">
              <w:t>vezano za koncesiju u svrhu izgradnje i gospodarskog korištenja postrojenja za proizvodnju biodizela na č.z. 2078/45 u Luci Ploče</w:t>
            </w:r>
          </w:p>
          <w:p w14:paraId="22E76791" w14:textId="77777777" w:rsidR="0056508E" w:rsidRPr="00436E2F" w:rsidRDefault="0056508E" w:rsidP="00764846"/>
        </w:tc>
        <w:tc>
          <w:tcPr>
            <w:tcW w:w="1697" w:type="dxa"/>
          </w:tcPr>
          <w:p w14:paraId="227CE495" w14:textId="06C84B7F" w:rsidR="0056508E" w:rsidRPr="00436E2F" w:rsidRDefault="0056508E" w:rsidP="00764846">
            <w:r w:rsidRPr="0056508E">
              <w:t>231.343.899,50</w:t>
            </w:r>
          </w:p>
        </w:tc>
        <w:tc>
          <w:tcPr>
            <w:tcW w:w="1766" w:type="dxa"/>
          </w:tcPr>
          <w:p w14:paraId="3C4DEBDA" w14:textId="00582EC6" w:rsidR="005E18FD" w:rsidRDefault="00F62496" w:rsidP="00764846">
            <w:r>
              <w:t>P</w:t>
            </w:r>
            <w:r w:rsidR="005E18FD" w:rsidRPr="005E18FD">
              <w:t>redmet vra</w:t>
            </w:r>
            <w:r>
              <w:t>ćen</w:t>
            </w:r>
            <w:r w:rsidR="005E18FD" w:rsidRPr="005E18FD">
              <w:t xml:space="preserve"> prvostupanj</w:t>
            </w:r>
            <w:r w:rsidR="005E18FD">
              <w:t>s</w:t>
            </w:r>
            <w:r w:rsidR="005E18FD" w:rsidRPr="005E18FD">
              <w:t>kom sudu na ponovno raspravljanje i odlučivanje.</w:t>
            </w:r>
          </w:p>
          <w:p w14:paraId="1A976616" w14:textId="77777777" w:rsidR="0056508E" w:rsidRDefault="005E18FD" w:rsidP="00764846">
            <w:r>
              <w:t>V</w:t>
            </w:r>
            <w:r w:rsidR="0056508E" w:rsidRPr="0056508E">
              <w:t>rijeme nije moguće procijeniti</w:t>
            </w:r>
            <w:r>
              <w:t>.</w:t>
            </w:r>
          </w:p>
          <w:p w14:paraId="2C59DB1E" w14:textId="33CEAB89" w:rsidR="005E18FD" w:rsidRPr="0056508E" w:rsidRDefault="005E18FD" w:rsidP="00764846"/>
        </w:tc>
      </w:tr>
      <w:tr w:rsidR="0056508E" w:rsidRPr="00B470C2" w14:paraId="688BBB36" w14:textId="77777777" w:rsidTr="00635CAE">
        <w:tc>
          <w:tcPr>
            <w:tcW w:w="554" w:type="dxa"/>
          </w:tcPr>
          <w:p w14:paraId="1952E33C" w14:textId="566C1ED0" w:rsidR="0056508E" w:rsidRDefault="0056508E" w:rsidP="00764846">
            <w:r>
              <w:t>6.</w:t>
            </w:r>
          </w:p>
        </w:tc>
        <w:tc>
          <w:tcPr>
            <w:tcW w:w="2632" w:type="dxa"/>
          </w:tcPr>
          <w:p w14:paraId="7D30D1B2" w14:textId="77777777" w:rsidR="0056508E" w:rsidRDefault="0056508E" w:rsidP="0056508E">
            <w:r>
              <w:t>P-154/2021</w:t>
            </w:r>
          </w:p>
          <w:p w14:paraId="3EB69489" w14:textId="77777777" w:rsidR="0056508E" w:rsidRDefault="0056508E" w:rsidP="0056508E">
            <w:r>
              <w:t>Trgovački sud u Zagrebu</w:t>
            </w:r>
          </w:p>
          <w:p w14:paraId="4D5C1D0C" w14:textId="77777777" w:rsidR="0056508E" w:rsidRDefault="0056508E" w:rsidP="0056508E">
            <w:r>
              <w:t>Tužitelji: EIGER SHIPPING SA i LITASCO SA</w:t>
            </w:r>
          </w:p>
          <w:p w14:paraId="1BE4226E" w14:textId="50EF36A6" w:rsidR="0056508E" w:rsidRDefault="0056508E" w:rsidP="0056508E">
            <w:r>
              <w:t>Tuženik: Lučka uprava Ploče</w:t>
            </w:r>
          </w:p>
        </w:tc>
        <w:tc>
          <w:tcPr>
            <w:tcW w:w="2367" w:type="dxa"/>
          </w:tcPr>
          <w:p w14:paraId="357CB278" w14:textId="0BD77CD0" w:rsidR="0056508E" w:rsidRDefault="0056508E" w:rsidP="0056508E">
            <w:r>
              <w:t>Radi naknade štete kao posljedica udara m/b STI POPLAR u obalu terminala tekućih tereta u luci Ploče</w:t>
            </w:r>
            <w:r w:rsidR="00AE4511">
              <w:t>.</w:t>
            </w:r>
          </w:p>
          <w:p w14:paraId="1A09A131" w14:textId="1DADF42A" w:rsidR="00AE4511" w:rsidRDefault="00AE4511" w:rsidP="005E18FD"/>
        </w:tc>
        <w:tc>
          <w:tcPr>
            <w:tcW w:w="1697" w:type="dxa"/>
          </w:tcPr>
          <w:p w14:paraId="0F322D97" w14:textId="77777777" w:rsidR="0056508E" w:rsidRDefault="0056508E" w:rsidP="00764846">
            <w:r w:rsidRPr="0056508E">
              <w:t>6.071.517,58</w:t>
            </w:r>
          </w:p>
          <w:p w14:paraId="358EDDD2" w14:textId="77777777" w:rsidR="00A118B8" w:rsidRDefault="00A118B8" w:rsidP="00764846"/>
          <w:p w14:paraId="7E79965C" w14:textId="07C90814" w:rsidR="00A118B8" w:rsidRPr="0056508E" w:rsidRDefault="00A118B8" w:rsidP="00764846">
            <w:r>
              <w:t>(958.565,52 USD; tečaj HNB-a 1.9.2021. = 6,333962)</w:t>
            </w:r>
          </w:p>
        </w:tc>
        <w:tc>
          <w:tcPr>
            <w:tcW w:w="1766" w:type="dxa"/>
          </w:tcPr>
          <w:p w14:paraId="26B010A0" w14:textId="52071C5F" w:rsidR="005E18FD" w:rsidRDefault="005E18FD" w:rsidP="00764846">
            <w:r w:rsidRPr="005E18FD">
              <w:t xml:space="preserve">Tužitelji su izjavili žalbu protiv rješenja Trgovačkog suda u Zagrebu kojim je Trgovački sud u Dubrovniku ocijenjen nenadležnim. </w:t>
            </w:r>
          </w:p>
          <w:p w14:paraId="198A4527" w14:textId="21D9416F" w:rsidR="0056508E" w:rsidRPr="0056508E" w:rsidRDefault="005E18FD" w:rsidP="00764846">
            <w:r>
              <w:t>V</w:t>
            </w:r>
            <w:r w:rsidR="0056508E" w:rsidRPr="0056508E">
              <w:t>rijeme nije moguće procijeniti</w:t>
            </w:r>
            <w:r>
              <w:t>.</w:t>
            </w:r>
          </w:p>
        </w:tc>
      </w:tr>
      <w:bookmarkEnd w:id="2"/>
    </w:tbl>
    <w:p w14:paraId="6BB4C4EA" w14:textId="77777777" w:rsidR="00B470C2" w:rsidRDefault="00B470C2" w:rsidP="00764846">
      <w:pPr>
        <w:rPr>
          <w:b/>
          <w:bCs/>
        </w:rPr>
      </w:pPr>
    </w:p>
    <w:bookmarkEnd w:id="3"/>
    <w:bookmarkEnd w:id="4"/>
    <w:bookmarkEnd w:id="5"/>
    <w:p w14:paraId="0DE64F9D" w14:textId="77777777" w:rsidR="00AE36FF" w:rsidRDefault="00AE36FF" w:rsidP="00F1075C">
      <w:pPr>
        <w:jc w:val="center"/>
        <w:rPr>
          <w:b/>
          <w:bCs/>
        </w:rPr>
      </w:pPr>
    </w:p>
    <w:p w14:paraId="46136528" w14:textId="77777777" w:rsidR="00A118B8" w:rsidRDefault="00A118B8">
      <w:pPr>
        <w:rPr>
          <w:b/>
          <w:bCs/>
        </w:rPr>
      </w:pPr>
      <w:r>
        <w:rPr>
          <w:b/>
          <w:bCs/>
        </w:rPr>
        <w:br w:type="page"/>
      </w:r>
    </w:p>
    <w:p w14:paraId="39B2D043" w14:textId="4647A861" w:rsidR="00F1075C" w:rsidRPr="00F1075C" w:rsidRDefault="00F1075C" w:rsidP="00F1075C">
      <w:pPr>
        <w:jc w:val="center"/>
        <w:rPr>
          <w:b/>
          <w:bCs/>
        </w:rPr>
      </w:pPr>
      <w:r w:rsidRPr="00F1075C">
        <w:rPr>
          <w:b/>
          <w:bCs/>
        </w:rPr>
        <w:lastRenderedPageBreak/>
        <w:t>Izvještaj o promjenama u vrijednosti i obujmu imovine i obveza</w:t>
      </w:r>
    </w:p>
    <w:p w14:paraId="589DAA32" w14:textId="25BC9EBE" w:rsidR="00F31F16" w:rsidRDefault="009744B0" w:rsidP="00EE205F">
      <w:pPr>
        <w:jc w:val="both"/>
      </w:pPr>
      <w:r w:rsidRPr="009744B0">
        <w:t>Bilješke uz Izvještaj o promjenama u vrijednosti i obujmu imovine i obveza objašnjavaju promjene u vrijednosti i obujmu imovine i obveza</w:t>
      </w:r>
      <w:r>
        <w:t xml:space="preserve"> iskazanih u obrascu P-VIRIO.</w:t>
      </w:r>
    </w:p>
    <w:p w14:paraId="267F7C2E" w14:textId="63604B2D" w:rsidR="009744B0" w:rsidRDefault="009744B0" w:rsidP="00EE205F">
      <w:pPr>
        <w:jc w:val="both"/>
        <w:rPr>
          <w:b/>
          <w:bCs/>
        </w:rPr>
      </w:pPr>
      <w:r w:rsidRPr="009744B0">
        <w:rPr>
          <w:b/>
          <w:bCs/>
        </w:rPr>
        <w:t xml:space="preserve">915 Promjene u vrijednosti i obujmu imovine i obveza </w:t>
      </w:r>
      <w:r>
        <w:rPr>
          <w:b/>
          <w:bCs/>
        </w:rPr>
        <w:t>–</w:t>
      </w:r>
      <w:r w:rsidRPr="009744B0">
        <w:rPr>
          <w:b/>
          <w:bCs/>
        </w:rPr>
        <w:t xml:space="preserve"> AOP</w:t>
      </w:r>
    </w:p>
    <w:p w14:paraId="5B4C53CC" w14:textId="7CF52D6F" w:rsidR="009744B0" w:rsidRPr="009744B0" w:rsidRDefault="009744B0" w:rsidP="00EE205F">
      <w:pPr>
        <w:jc w:val="both"/>
      </w:pPr>
      <w:r>
        <w:t>Na kontu 915 P</w:t>
      </w:r>
      <w:r w:rsidRPr="009744B0">
        <w:t>romjene u vrijednosti i obujmu imovine i obveza</w:t>
      </w:r>
      <w:r>
        <w:t xml:space="preserve"> iskazan je iznos od 11.458,97 HRK. Ovaj iznos</w:t>
      </w:r>
      <w:r w:rsidR="00310CE0">
        <w:t xml:space="preserve"> predstavlja promjenu u obujmu imovine, a</w:t>
      </w:r>
      <w:r>
        <w:t xml:space="preserve"> odnosi se na</w:t>
      </w:r>
      <w:r w:rsidR="00310CE0">
        <w:t xml:space="preserve"> iznos otpisa potraživanja potraživanja za koja ranije nije bio obavljen ispravak vrijednosti. Ovo potraživanje je otpisano jer je subjekt brisan u sudskom </w:t>
      </w:r>
      <w:r w:rsidR="00310CE0" w:rsidRPr="0033785D">
        <w:t xml:space="preserve">registru. </w:t>
      </w:r>
      <w:r w:rsidR="0033785D">
        <w:t>Ova potraživanja su bila prijavljena u stečajnom postupku.</w:t>
      </w:r>
    </w:p>
    <w:sectPr w:rsidR="009744B0" w:rsidRPr="009744B0" w:rsidSect="00EE205F">
      <w:pgSz w:w="11906" w:h="16838"/>
      <w:pgMar w:top="1440" w:right="1440" w:bottom="1440" w:left="1440"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1D7"/>
    <w:multiLevelType w:val="hybridMultilevel"/>
    <w:tmpl w:val="C4A237AE"/>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A31CD5"/>
    <w:multiLevelType w:val="hybridMultilevel"/>
    <w:tmpl w:val="5EFA1FD6"/>
    <w:lvl w:ilvl="0" w:tplc="0DC0BA1C">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4369F2"/>
    <w:multiLevelType w:val="hybridMultilevel"/>
    <w:tmpl w:val="973C638E"/>
    <w:lvl w:ilvl="0" w:tplc="041A0001">
      <w:start w:val="1"/>
      <w:numFmt w:val="bullet"/>
      <w:lvlText w:val=""/>
      <w:lvlJc w:val="left"/>
      <w:rPr>
        <w:rFonts w:ascii="Symbol" w:hAnsi="Symbol"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3" w15:restartNumberingAfterBreak="0">
    <w:nsid w:val="15581621"/>
    <w:multiLevelType w:val="hybridMultilevel"/>
    <w:tmpl w:val="0BD8B9C2"/>
    <w:lvl w:ilvl="0" w:tplc="820A3EE4">
      <w:numFmt w:val="bullet"/>
      <w:lvlText w:val="–"/>
      <w:lvlJc w:val="left"/>
      <w:pPr>
        <w:ind w:left="1065" w:hanging="705"/>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6D6E85"/>
    <w:multiLevelType w:val="hybridMultilevel"/>
    <w:tmpl w:val="439642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A14534"/>
    <w:multiLevelType w:val="hybridMultilevel"/>
    <w:tmpl w:val="E7EAC03C"/>
    <w:lvl w:ilvl="0" w:tplc="CFD83718">
      <w:start w:val="7"/>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1BCB5E93"/>
    <w:multiLevelType w:val="hybridMultilevel"/>
    <w:tmpl w:val="077C607C"/>
    <w:lvl w:ilvl="0" w:tplc="64B29FE2">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347DDE"/>
    <w:multiLevelType w:val="hybridMultilevel"/>
    <w:tmpl w:val="FD4854AC"/>
    <w:lvl w:ilvl="0" w:tplc="041A0009">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22E756F"/>
    <w:multiLevelType w:val="hybridMultilevel"/>
    <w:tmpl w:val="4C48CA72"/>
    <w:lvl w:ilvl="0" w:tplc="041A0009">
      <w:start w:val="1"/>
      <w:numFmt w:val="bullet"/>
      <w:lvlText w:val=""/>
      <w:lvlJc w:val="left"/>
      <w:rPr>
        <w:rFonts w:ascii="Wingdings" w:hAnsi="Wingdings" w:hint="default"/>
      </w:rPr>
    </w:lvl>
    <w:lvl w:ilvl="1" w:tplc="041A0003" w:tentative="1">
      <w:start w:val="1"/>
      <w:numFmt w:val="bullet"/>
      <w:lvlText w:val="o"/>
      <w:lvlJc w:val="left"/>
      <w:pPr>
        <w:ind w:left="888" w:hanging="360"/>
      </w:pPr>
      <w:rPr>
        <w:rFonts w:ascii="Courier New" w:hAnsi="Courier New" w:cs="Courier New" w:hint="default"/>
      </w:rPr>
    </w:lvl>
    <w:lvl w:ilvl="2" w:tplc="041A0005" w:tentative="1">
      <w:start w:val="1"/>
      <w:numFmt w:val="bullet"/>
      <w:lvlText w:val=""/>
      <w:lvlJc w:val="left"/>
      <w:pPr>
        <w:ind w:left="1608" w:hanging="360"/>
      </w:pPr>
      <w:rPr>
        <w:rFonts w:ascii="Wingdings" w:hAnsi="Wingdings" w:hint="default"/>
      </w:rPr>
    </w:lvl>
    <w:lvl w:ilvl="3" w:tplc="041A0001" w:tentative="1">
      <w:start w:val="1"/>
      <w:numFmt w:val="bullet"/>
      <w:lvlText w:val=""/>
      <w:lvlJc w:val="left"/>
      <w:pPr>
        <w:ind w:left="2328" w:hanging="360"/>
      </w:pPr>
      <w:rPr>
        <w:rFonts w:ascii="Symbol" w:hAnsi="Symbol" w:hint="default"/>
      </w:rPr>
    </w:lvl>
    <w:lvl w:ilvl="4" w:tplc="041A0003" w:tentative="1">
      <w:start w:val="1"/>
      <w:numFmt w:val="bullet"/>
      <w:lvlText w:val="o"/>
      <w:lvlJc w:val="left"/>
      <w:pPr>
        <w:ind w:left="3048" w:hanging="360"/>
      </w:pPr>
      <w:rPr>
        <w:rFonts w:ascii="Courier New" w:hAnsi="Courier New" w:cs="Courier New" w:hint="default"/>
      </w:rPr>
    </w:lvl>
    <w:lvl w:ilvl="5" w:tplc="041A0005" w:tentative="1">
      <w:start w:val="1"/>
      <w:numFmt w:val="bullet"/>
      <w:lvlText w:val=""/>
      <w:lvlJc w:val="left"/>
      <w:pPr>
        <w:ind w:left="3768" w:hanging="360"/>
      </w:pPr>
      <w:rPr>
        <w:rFonts w:ascii="Wingdings" w:hAnsi="Wingdings" w:hint="default"/>
      </w:rPr>
    </w:lvl>
    <w:lvl w:ilvl="6" w:tplc="041A0001" w:tentative="1">
      <w:start w:val="1"/>
      <w:numFmt w:val="bullet"/>
      <w:lvlText w:val=""/>
      <w:lvlJc w:val="left"/>
      <w:pPr>
        <w:ind w:left="4488" w:hanging="360"/>
      </w:pPr>
      <w:rPr>
        <w:rFonts w:ascii="Symbol" w:hAnsi="Symbol" w:hint="default"/>
      </w:rPr>
    </w:lvl>
    <w:lvl w:ilvl="7" w:tplc="041A0003" w:tentative="1">
      <w:start w:val="1"/>
      <w:numFmt w:val="bullet"/>
      <w:lvlText w:val="o"/>
      <w:lvlJc w:val="left"/>
      <w:pPr>
        <w:ind w:left="5208" w:hanging="360"/>
      </w:pPr>
      <w:rPr>
        <w:rFonts w:ascii="Courier New" w:hAnsi="Courier New" w:cs="Courier New" w:hint="default"/>
      </w:rPr>
    </w:lvl>
    <w:lvl w:ilvl="8" w:tplc="041A0005" w:tentative="1">
      <w:start w:val="1"/>
      <w:numFmt w:val="bullet"/>
      <w:lvlText w:val=""/>
      <w:lvlJc w:val="left"/>
      <w:pPr>
        <w:ind w:left="5928" w:hanging="360"/>
      </w:pPr>
      <w:rPr>
        <w:rFonts w:ascii="Wingdings" w:hAnsi="Wingdings" w:hint="default"/>
      </w:rPr>
    </w:lvl>
  </w:abstractNum>
  <w:abstractNum w:abstractNumId="9" w15:restartNumberingAfterBreak="0">
    <w:nsid w:val="26483FCB"/>
    <w:multiLevelType w:val="hybridMultilevel"/>
    <w:tmpl w:val="AD448E70"/>
    <w:lvl w:ilvl="0" w:tplc="E8FEE640">
      <w:start w:val="3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6744326"/>
    <w:multiLevelType w:val="hybridMultilevel"/>
    <w:tmpl w:val="54BE5CB2"/>
    <w:lvl w:ilvl="0" w:tplc="4428331E">
      <w:start w:val="1"/>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394375EC"/>
    <w:multiLevelType w:val="hybridMultilevel"/>
    <w:tmpl w:val="5E1244F8"/>
    <w:lvl w:ilvl="0" w:tplc="88CEE8F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C38793F"/>
    <w:multiLevelType w:val="hybridMultilevel"/>
    <w:tmpl w:val="99BAE226"/>
    <w:lvl w:ilvl="0" w:tplc="041A0009">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45872044"/>
    <w:multiLevelType w:val="hybridMultilevel"/>
    <w:tmpl w:val="0BE0DAFC"/>
    <w:lvl w:ilvl="0" w:tplc="041A0009">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51F72540"/>
    <w:multiLevelType w:val="hybridMultilevel"/>
    <w:tmpl w:val="6F128584"/>
    <w:lvl w:ilvl="0" w:tplc="17C68D4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2DB53FC"/>
    <w:multiLevelType w:val="hybridMultilevel"/>
    <w:tmpl w:val="70BE8CAA"/>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A135912"/>
    <w:multiLevelType w:val="hybridMultilevel"/>
    <w:tmpl w:val="FA624E40"/>
    <w:lvl w:ilvl="0" w:tplc="C41AB114">
      <w:numFmt w:val="bullet"/>
      <w:lvlText w:val="•"/>
      <w:lvlJc w:val="left"/>
      <w:pPr>
        <w:ind w:left="1410" w:hanging="705"/>
      </w:pPr>
      <w:rPr>
        <w:rFonts w:ascii="Calibri" w:eastAsiaTheme="minorHAnsi" w:hAnsi="Calibri" w:cs="Calibri"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7" w15:restartNumberingAfterBreak="0">
    <w:nsid w:val="5D6528FE"/>
    <w:multiLevelType w:val="hybridMultilevel"/>
    <w:tmpl w:val="BEBCBD1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5E0D6096"/>
    <w:multiLevelType w:val="hybridMultilevel"/>
    <w:tmpl w:val="DDD013C8"/>
    <w:lvl w:ilvl="0" w:tplc="6F743356">
      <w:start w:val="5"/>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01665A5"/>
    <w:multiLevelType w:val="hybridMultilevel"/>
    <w:tmpl w:val="1FCC43CE"/>
    <w:lvl w:ilvl="0" w:tplc="041A0009">
      <w:start w:val="1"/>
      <w:numFmt w:val="bullet"/>
      <w:lvlText w:val=""/>
      <w:lvlJc w:val="left"/>
      <w:rPr>
        <w:rFonts w:ascii="Wingdings" w:hAnsi="Wingdings" w:hint="default"/>
      </w:rPr>
    </w:lvl>
    <w:lvl w:ilvl="1" w:tplc="041A0003" w:tentative="1">
      <w:start w:val="1"/>
      <w:numFmt w:val="bullet"/>
      <w:lvlText w:val="o"/>
      <w:lvlJc w:val="left"/>
      <w:pPr>
        <w:ind w:left="1032" w:hanging="360"/>
      </w:pPr>
      <w:rPr>
        <w:rFonts w:ascii="Courier New" w:hAnsi="Courier New" w:cs="Courier New" w:hint="default"/>
      </w:rPr>
    </w:lvl>
    <w:lvl w:ilvl="2" w:tplc="041A0005" w:tentative="1">
      <w:start w:val="1"/>
      <w:numFmt w:val="bullet"/>
      <w:lvlText w:val=""/>
      <w:lvlJc w:val="left"/>
      <w:pPr>
        <w:ind w:left="1752" w:hanging="360"/>
      </w:pPr>
      <w:rPr>
        <w:rFonts w:ascii="Wingdings" w:hAnsi="Wingdings" w:hint="default"/>
      </w:rPr>
    </w:lvl>
    <w:lvl w:ilvl="3" w:tplc="041A0001" w:tentative="1">
      <w:start w:val="1"/>
      <w:numFmt w:val="bullet"/>
      <w:lvlText w:val=""/>
      <w:lvlJc w:val="left"/>
      <w:pPr>
        <w:ind w:left="2472" w:hanging="360"/>
      </w:pPr>
      <w:rPr>
        <w:rFonts w:ascii="Symbol" w:hAnsi="Symbol" w:hint="default"/>
      </w:rPr>
    </w:lvl>
    <w:lvl w:ilvl="4" w:tplc="041A0003" w:tentative="1">
      <w:start w:val="1"/>
      <w:numFmt w:val="bullet"/>
      <w:lvlText w:val="o"/>
      <w:lvlJc w:val="left"/>
      <w:pPr>
        <w:ind w:left="3192" w:hanging="360"/>
      </w:pPr>
      <w:rPr>
        <w:rFonts w:ascii="Courier New" w:hAnsi="Courier New" w:cs="Courier New" w:hint="default"/>
      </w:rPr>
    </w:lvl>
    <w:lvl w:ilvl="5" w:tplc="041A0005" w:tentative="1">
      <w:start w:val="1"/>
      <w:numFmt w:val="bullet"/>
      <w:lvlText w:val=""/>
      <w:lvlJc w:val="left"/>
      <w:pPr>
        <w:ind w:left="3912" w:hanging="360"/>
      </w:pPr>
      <w:rPr>
        <w:rFonts w:ascii="Wingdings" w:hAnsi="Wingdings" w:hint="default"/>
      </w:rPr>
    </w:lvl>
    <w:lvl w:ilvl="6" w:tplc="041A0001" w:tentative="1">
      <w:start w:val="1"/>
      <w:numFmt w:val="bullet"/>
      <w:lvlText w:val=""/>
      <w:lvlJc w:val="left"/>
      <w:pPr>
        <w:ind w:left="4632" w:hanging="360"/>
      </w:pPr>
      <w:rPr>
        <w:rFonts w:ascii="Symbol" w:hAnsi="Symbol" w:hint="default"/>
      </w:rPr>
    </w:lvl>
    <w:lvl w:ilvl="7" w:tplc="041A0003" w:tentative="1">
      <w:start w:val="1"/>
      <w:numFmt w:val="bullet"/>
      <w:lvlText w:val="o"/>
      <w:lvlJc w:val="left"/>
      <w:pPr>
        <w:ind w:left="5352" w:hanging="360"/>
      </w:pPr>
      <w:rPr>
        <w:rFonts w:ascii="Courier New" w:hAnsi="Courier New" w:cs="Courier New" w:hint="default"/>
      </w:rPr>
    </w:lvl>
    <w:lvl w:ilvl="8" w:tplc="041A0005" w:tentative="1">
      <w:start w:val="1"/>
      <w:numFmt w:val="bullet"/>
      <w:lvlText w:val=""/>
      <w:lvlJc w:val="left"/>
      <w:pPr>
        <w:ind w:left="6072" w:hanging="360"/>
      </w:pPr>
      <w:rPr>
        <w:rFonts w:ascii="Wingdings" w:hAnsi="Wingdings" w:hint="default"/>
      </w:rPr>
    </w:lvl>
  </w:abstractNum>
  <w:abstractNum w:abstractNumId="20" w15:restartNumberingAfterBreak="0">
    <w:nsid w:val="60C81C43"/>
    <w:multiLevelType w:val="hybridMultilevel"/>
    <w:tmpl w:val="C4D01620"/>
    <w:lvl w:ilvl="0" w:tplc="17C68D4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0E1500B"/>
    <w:multiLevelType w:val="hybridMultilevel"/>
    <w:tmpl w:val="E3A01A2E"/>
    <w:lvl w:ilvl="0" w:tplc="0AFA9C18">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5848C4"/>
    <w:multiLevelType w:val="hybridMultilevel"/>
    <w:tmpl w:val="7CE87748"/>
    <w:lvl w:ilvl="0" w:tplc="041A0001">
      <w:start w:val="1"/>
      <w:numFmt w:val="bullet"/>
      <w:lvlText w:val=""/>
      <w:lvlJc w:val="left"/>
      <w:rPr>
        <w:rFonts w:ascii="Symbol" w:hAnsi="Symbol"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3" w15:restartNumberingAfterBreak="0">
    <w:nsid w:val="6486360A"/>
    <w:multiLevelType w:val="hybridMultilevel"/>
    <w:tmpl w:val="CC9E666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85D1172"/>
    <w:multiLevelType w:val="hybridMultilevel"/>
    <w:tmpl w:val="D8248C3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15:restartNumberingAfterBreak="0">
    <w:nsid w:val="77BB045B"/>
    <w:multiLevelType w:val="hybridMultilevel"/>
    <w:tmpl w:val="75863A04"/>
    <w:lvl w:ilvl="0" w:tplc="24042100">
      <w:start w:val="23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9A62443"/>
    <w:multiLevelType w:val="hybridMultilevel"/>
    <w:tmpl w:val="BC1853D8"/>
    <w:lvl w:ilvl="0" w:tplc="6E645A1E">
      <w:start w:val="3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B8876A8"/>
    <w:multiLevelType w:val="hybridMultilevel"/>
    <w:tmpl w:val="28B2955A"/>
    <w:lvl w:ilvl="0" w:tplc="041A0009">
      <w:start w:val="1"/>
      <w:numFmt w:val="bullet"/>
      <w:lvlText w:val=""/>
      <w:lvlJc w:val="left"/>
      <w:rPr>
        <w:rFonts w:ascii="Wingdings" w:hAnsi="Wingdings" w:hint="default"/>
      </w:rPr>
    </w:lvl>
    <w:lvl w:ilvl="1" w:tplc="041A0003" w:tentative="1">
      <w:start w:val="1"/>
      <w:numFmt w:val="bullet"/>
      <w:lvlText w:val="o"/>
      <w:lvlJc w:val="left"/>
      <w:pPr>
        <w:ind w:left="1248" w:hanging="360"/>
      </w:pPr>
      <w:rPr>
        <w:rFonts w:ascii="Courier New" w:hAnsi="Courier New" w:cs="Courier New" w:hint="default"/>
      </w:rPr>
    </w:lvl>
    <w:lvl w:ilvl="2" w:tplc="041A0005" w:tentative="1">
      <w:start w:val="1"/>
      <w:numFmt w:val="bullet"/>
      <w:lvlText w:val=""/>
      <w:lvlJc w:val="left"/>
      <w:pPr>
        <w:ind w:left="1968" w:hanging="360"/>
      </w:pPr>
      <w:rPr>
        <w:rFonts w:ascii="Wingdings" w:hAnsi="Wingdings" w:hint="default"/>
      </w:rPr>
    </w:lvl>
    <w:lvl w:ilvl="3" w:tplc="041A0001" w:tentative="1">
      <w:start w:val="1"/>
      <w:numFmt w:val="bullet"/>
      <w:lvlText w:val=""/>
      <w:lvlJc w:val="left"/>
      <w:pPr>
        <w:ind w:left="2688" w:hanging="360"/>
      </w:pPr>
      <w:rPr>
        <w:rFonts w:ascii="Symbol" w:hAnsi="Symbol" w:hint="default"/>
      </w:rPr>
    </w:lvl>
    <w:lvl w:ilvl="4" w:tplc="041A0003" w:tentative="1">
      <w:start w:val="1"/>
      <w:numFmt w:val="bullet"/>
      <w:lvlText w:val="o"/>
      <w:lvlJc w:val="left"/>
      <w:pPr>
        <w:ind w:left="3408" w:hanging="360"/>
      </w:pPr>
      <w:rPr>
        <w:rFonts w:ascii="Courier New" w:hAnsi="Courier New" w:cs="Courier New" w:hint="default"/>
      </w:rPr>
    </w:lvl>
    <w:lvl w:ilvl="5" w:tplc="041A0005" w:tentative="1">
      <w:start w:val="1"/>
      <w:numFmt w:val="bullet"/>
      <w:lvlText w:val=""/>
      <w:lvlJc w:val="left"/>
      <w:pPr>
        <w:ind w:left="4128" w:hanging="360"/>
      </w:pPr>
      <w:rPr>
        <w:rFonts w:ascii="Wingdings" w:hAnsi="Wingdings" w:hint="default"/>
      </w:rPr>
    </w:lvl>
    <w:lvl w:ilvl="6" w:tplc="041A0001" w:tentative="1">
      <w:start w:val="1"/>
      <w:numFmt w:val="bullet"/>
      <w:lvlText w:val=""/>
      <w:lvlJc w:val="left"/>
      <w:pPr>
        <w:ind w:left="4848" w:hanging="360"/>
      </w:pPr>
      <w:rPr>
        <w:rFonts w:ascii="Symbol" w:hAnsi="Symbol" w:hint="default"/>
      </w:rPr>
    </w:lvl>
    <w:lvl w:ilvl="7" w:tplc="041A0003" w:tentative="1">
      <w:start w:val="1"/>
      <w:numFmt w:val="bullet"/>
      <w:lvlText w:val="o"/>
      <w:lvlJc w:val="left"/>
      <w:pPr>
        <w:ind w:left="5568" w:hanging="360"/>
      </w:pPr>
      <w:rPr>
        <w:rFonts w:ascii="Courier New" w:hAnsi="Courier New" w:cs="Courier New" w:hint="default"/>
      </w:rPr>
    </w:lvl>
    <w:lvl w:ilvl="8" w:tplc="041A0005" w:tentative="1">
      <w:start w:val="1"/>
      <w:numFmt w:val="bullet"/>
      <w:lvlText w:val=""/>
      <w:lvlJc w:val="left"/>
      <w:pPr>
        <w:ind w:left="6288" w:hanging="360"/>
      </w:pPr>
      <w:rPr>
        <w:rFonts w:ascii="Wingdings" w:hAnsi="Wingdings" w:hint="default"/>
      </w:rPr>
    </w:lvl>
  </w:abstractNum>
  <w:num w:numId="1">
    <w:abstractNumId w:val="11"/>
  </w:num>
  <w:num w:numId="2">
    <w:abstractNumId w:val="20"/>
  </w:num>
  <w:num w:numId="3">
    <w:abstractNumId w:val="10"/>
  </w:num>
  <w:num w:numId="4">
    <w:abstractNumId w:val="14"/>
  </w:num>
  <w:num w:numId="5">
    <w:abstractNumId w:val="16"/>
  </w:num>
  <w:num w:numId="6">
    <w:abstractNumId w:val="27"/>
  </w:num>
  <w:num w:numId="7">
    <w:abstractNumId w:val="25"/>
  </w:num>
  <w:num w:numId="8">
    <w:abstractNumId w:val="3"/>
  </w:num>
  <w:num w:numId="9">
    <w:abstractNumId w:val="6"/>
  </w:num>
  <w:num w:numId="10">
    <w:abstractNumId w:val="26"/>
  </w:num>
  <w:num w:numId="11">
    <w:abstractNumId w:val="9"/>
  </w:num>
  <w:num w:numId="12">
    <w:abstractNumId w:val="1"/>
  </w:num>
  <w:num w:numId="13">
    <w:abstractNumId w:val="8"/>
  </w:num>
  <w:num w:numId="14">
    <w:abstractNumId w:val="2"/>
  </w:num>
  <w:num w:numId="15">
    <w:abstractNumId w:val="19"/>
  </w:num>
  <w:num w:numId="16">
    <w:abstractNumId w:val="13"/>
  </w:num>
  <w:num w:numId="17">
    <w:abstractNumId w:val="22"/>
  </w:num>
  <w:num w:numId="18">
    <w:abstractNumId w:val="24"/>
  </w:num>
  <w:num w:numId="19">
    <w:abstractNumId w:val="0"/>
  </w:num>
  <w:num w:numId="20">
    <w:abstractNumId w:val="7"/>
  </w:num>
  <w:num w:numId="21">
    <w:abstractNumId w:val="12"/>
  </w:num>
  <w:num w:numId="22">
    <w:abstractNumId w:val="17"/>
  </w:num>
  <w:num w:numId="23">
    <w:abstractNumId w:val="21"/>
  </w:num>
  <w:num w:numId="24">
    <w:abstractNumId w:val="5"/>
  </w:num>
  <w:num w:numId="25">
    <w:abstractNumId w:val="4"/>
  </w:num>
  <w:num w:numId="26">
    <w:abstractNumId w:val="18"/>
  </w:num>
  <w:num w:numId="27">
    <w:abstractNumId w:val="2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CD9"/>
    <w:rsid w:val="00003F20"/>
    <w:rsid w:val="0001325C"/>
    <w:rsid w:val="00013586"/>
    <w:rsid w:val="00017267"/>
    <w:rsid w:val="00021C9E"/>
    <w:rsid w:val="00031C95"/>
    <w:rsid w:val="00060983"/>
    <w:rsid w:val="00071E25"/>
    <w:rsid w:val="000B75FF"/>
    <w:rsid w:val="000D0A65"/>
    <w:rsid w:val="000D3E4E"/>
    <w:rsid w:val="000D5B8E"/>
    <w:rsid w:val="0012066E"/>
    <w:rsid w:val="00133E5E"/>
    <w:rsid w:val="0015033A"/>
    <w:rsid w:val="0016039F"/>
    <w:rsid w:val="0018024B"/>
    <w:rsid w:val="00192D5D"/>
    <w:rsid w:val="00197C60"/>
    <w:rsid w:val="001A3B62"/>
    <w:rsid w:val="001C68C1"/>
    <w:rsid w:val="002544D2"/>
    <w:rsid w:val="00264898"/>
    <w:rsid w:val="00264BF2"/>
    <w:rsid w:val="0027754A"/>
    <w:rsid w:val="0028465A"/>
    <w:rsid w:val="002A52DA"/>
    <w:rsid w:val="002C3445"/>
    <w:rsid w:val="00310CE0"/>
    <w:rsid w:val="0033785D"/>
    <w:rsid w:val="00353B46"/>
    <w:rsid w:val="003A37DB"/>
    <w:rsid w:val="00436E2F"/>
    <w:rsid w:val="00437650"/>
    <w:rsid w:val="00437789"/>
    <w:rsid w:val="00446DA2"/>
    <w:rsid w:val="00474094"/>
    <w:rsid w:val="0049518C"/>
    <w:rsid w:val="004B0E86"/>
    <w:rsid w:val="004D03BF"/>
    <w:rsid w:val="004D602F"/>
    <w:rsid w:val="00503347"/>
    <w:rsid w:val="00507BB3"/>
    <w:rsid w:val="00511C33"/>
    <w:rsid w:val="0056508E"/>
    <w:rsid w:val="005B14A3"/>
    <w:rsid w:val="005B47EB"/>
    <w:rsid w:val="005E18FD"/>
    <w:rsid w:val="0061727B"/>
    <w:rsid w:val="00635CAE"/>
    <w:rsid w:val="00636FDA"/>
    <w:rsid w:val="00640CD9"/>
    <w:rsid w:val="00646DF9"/>
    <w:rsid w:val="006527D6"/>
    <w:rsid w:val="00674AB0"/>
    <w:rsid w:val="0067525F"/>
    <w:rsid w:val="006B3763"/>
    <w:rsid w:val="006E7E1D"/>
    <w:rsid w:val="00702880"/>
    <w:rsid w:val="007045D0"/>
    <w:rsid w:val="0074596D"/>
    <w:rsid w:val="00764846"/>
    <w:rsid w:val="007860F8"/>
    <w:rsid w:val="007A7E49"/>
    <w:rsid w:val="007E4D56"/>
    <w:rsid w:val="007E781A"/>
    <w:rsid w:val="0080579E"/>
    <w:rsid w:val="00832952"/>
    <w:rsid w:val="00895A87"/>
    <w:rsid w:val="00897BE4"/>
    <w:rsid w:val="008A1342"/>
    <w:rsid w:val="008B2F8F"/>
    <w:rsid w:val="008C2871"/>
    <w:rsid w:val="008C44F5"/>
    <w:rsid w:val="008E2F28"/>
    <w:rsid w:val="008E5C25"/>
    <w:rsid w:val="008F236A"/>
    <w:rsid w:val="008F31F9"/>
    <w:rsid w:val="0094136E"/>
    <w:rsid w:val="00947ABF"/>
    <w:rsid w:val="00951A67"/>
    <w:rsid w:val="0096196C"/>
    <w:rsid w:val="009744B0"/>
    <w:rsid w:val="009F7DEE"/>
    <w:rsid w:val="00A11095"/>
    <w:rsid w:val="00A118B8"/>
    <w:rsid w:val="00A22FFC"/>
    <w:rsid w:val="00A233D5"/>
    <w:rsid w:val="00A51BF8"/>
    <w:rsid w:val="00A536D9"/>
    <w:rsid w:val="00A7012D"/>
    <w:rsid w:val="00A75286"/>
    <w:rsid w:val="00AA609F"/>
    <w:rsid w:val="00AD08BD"/>
    <w:rsid w:val="00AE36FF"/>
    <w:rsid w:val="00AE4511"/>
    <w:rsid w:val="00B01F94"/>
    <w:rsid w:val="00B02354"/>
    <w:rsid w:val="00B15B7F"/>
    <w:rsid w:val="00B209C7"/>
    <w:rsid w:val="00B442AE"/>
    <w:rsid w:val="00B46675"/>
    <w:rsid w:val="00B470C2"/>
    <w:rsid w:val="00B47715"/>
    <w:rsid w:val="00B55EF7"/>
    <w:rsid w:val="00B63B2C"/>
    <w:rsid w:val="00B93A78"/>
    <w:rsid w:val="00BB6E61"/>
    <w:rsid w:val="00C27119"/>
    <w:rsid w:val="00C2771C"/>
    <w:rsid w:val="00C364BC"/>
    <w:rsid w:val="00C45100"/>
    <w:rsid w:val="00C61A27"/>
    <w:rsid w:val="00C77A55"/>
    <w:rsid w:val="00C84A17"/>
    <w:rsid w:val="00C907D5"/>
    <w:rsid w:val="00CC01D2"/>
    <w:rsid w:val="00CC5513"/>
    <w:rsid w:val="00CF101B"/>
    <w:rsid w:val="00D06D29"/>
    <w:rsid w:val="00D148EB"/>
    <w:rsid w:val="00D51759"/>
    <w:rsid w:val="00DB3AF0"/>
    <w:rsid w:val="00DC1721"/>
    <w:rsid w:val="00DD739A"/>
    <w:rsid w:val="00E00089"/>
    <w:rsid w:val="00E405DD"/>
    <w:rsid w:val="00E42BB4"/>
    <w:rsid w:val="00E47B3D"/>
    <w:rsid w:val="00E53148"/>
    <w:rsid w:val="00E803FB"/>
    <w:rsid w:val="00EE205F"/>
    <w:rsid w:val="00EF6874"/>
    <w:rsid w:val="00F06818"/>
    <w:rsid w:val="00F1075C"/>
    <w:rsid w:val="00F31F16"/>
    <w:rsid w:val="00F329BC"/>
    <w:rsid w:val="00F37392"/>
    <w:rsid w:val="00F5484D"/>
    <w:rsid w:val="00F62496"/>
    <w:rsid w:val="00F800EF"/>
    <w:rsid w:val="00FB17A6"/>
    <w:rsid w:val="00FB5522"/>
    <w:rsid w:val="00FD2B27"/>
    <w:rsid w:val="00FF1B4D"/>
    <w:rsid w:val="00FF1B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637C0"/>
  <w15:chartTrackingRefBased/>
  <w15:docId w15:val="{CB311A9A-2C02-4D17-8CF4-12DE06A0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05F"/>
  </w:style>
  <w:style w:type="paragraph" w:styleId="Naslov1">
    <w:name w:val="heading 1"/>
    <w:basedOn w:val="Normal"/>
    <w:next w:val="Normal"/>
    <w:link w:val="Naslov1Char"/>
    <w:uiPriority w:val="9"/>
    <w:qFormat/>
    <w:rsid w:val="00EE205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slov2">
    <w:name w:val="heading 2"/>
    <w:basedOn w:val="Normal"/>
    <w:next w:val="Normal"/>
    <w:link w:val="Naslov2Char"/>
    <w:uiPriority w:val="9"/>
    <w:semiHidden/>
    <w:unhideWhenUsed/>
    <w:qFormat/>
    <w:rsid w:val="00EE205F"/>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slov3">
    <w:name w:val="heading 3"/>
    <w:basedOn w:val="Normal"/>
    <w:next w:val="Normal"/>
    <w:link w:val="Naslov3Char"/>
    <w:uiPriority w:val="9"/>
    <w:semiHidden/>
    <w:unhideWhenUsed/>
    <w:qFormat/>
    <w:rsid w:val="00EE205F"/>
    <w:pPr>
      <w:keepNext/>
      <w:keepLines/>
      <w:spacing w:before="200" w:after="0"/>
      <w:outlineLvl w:val="2"/>
    </w:pPr>
    <w:rPr>
      <w:rFonts w:asciiTheme="majorHAnsi" w:eastAsiaTheme="majorEastAsia" w:hAnsiTheme="majorHAnsi" w:cstheme="majorBidi"/>
      <w:b/>
      <w:bCs/>
      <w:color w:val="4472C4" w:themeColor="accent1"/>
    </w:rPr>
  </w:style>
  <w:style w:type="paragraph" w:styleId="Naslov4">
    <w:name w:val="heading 4"/>
    <w:basedOn w:val="Normal"/>
    <w:next w:val="Normal"/>
    <w:link w:val="Naslov4Char"/>
    <w:uiPriority w:val="9"/>
    <w:semiHidden/>
    <w:unhideWhenUsed/>
    <w:qFormat/>
    <w:rsid w:val="00EE205F"/>
    <w:pPr>
      <w:keepNext/>
      <w:keepLines/>
      <w:spacing w:before="200" w:after="0"/>
      <w:outlineLvl w:val="3"/>
    </w:pPr>
    <w:rPr>
      <w:rFonts w:asciiTheme="majorHAnsi" w:eastAsiaTheme="majorEastAsia" w:hAnsiTheme="majorHAnsi" w:cstheme="majorBidi"/>
      <w:b/>
      <w:bCs/>
      <w:i/>
      <w:iCs/>
      <w:color w:val="4472C4" w:themeColor="accent1"/>
    </w:rPr>
  </w:style>
  <w:style w:type="paragraph" w:styleId="Naslov5">
    <w:name w:val="heading 5"/>
    <w:basedOn w:val="Normal"/>
    <w:next w:val="Normal"/>
    <w:link w:val="Naslov5Char"/>
    <w:uiPriority w:val="9"/>
    <w:semiHidden/>
    <w:unhideWhenUsed/>
    <w:qFormat/>
    <w:rsid w:val="00EE205F"/>
    <w:pPr>
      <w:keepNext/>
      <w:keepLines/>
      <w:spacing w:before="200" w:after="0"/>
      <w:outlineLvl w:val="4"/>
    </w:pPr>
    <w:rPr>
      <w:rFonts w:asciiTheme="majorHAnsi" w:eastAsiaTheme="majorEastAsia" w:hAnsiTheme="majorHAnsi" w:cstheme="majorBidi"/>
      <w:color w:val="1F3763" w:themeColor="accent1" w:themeShade="7F"/>
    </w:rPr>
  </w:style>
  <w:style w:type="paragraph" w:styleId="Naslov6">
    <w:name w:val="heading 6"/>
    <w:basedOn w:val="Normal"/>
    <w:next w:val="Normal"/>
    <w:link w:val="Naslov6Char"/>
    <w:uiPriority w:val="9"/>
    <w:semiHidden/>
    <w:unhideWhenUsed/>
    <w:qFormat/>
    <w:rsid w:val="00EE205F"/>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Naslov7">
    <w:name w:val="heading 7"/>
    <w:basedOn w:val="Normal"/>
    <w:next w:val="Normal"/>
    <w:link w:val="Naslov7Char"/>
    <w:uiPriority w:val="9"/>
    <w:semiHidden/>
    <w:unhideWhenUsed/>
    <w:qFormat/>
    <w:rsid w:val="00EE20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EE205F"/>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Naslov9">
    <w:name w:val="heading 9"/>
    <w:basedOn w:val="Normal"/>
    <w:next w:val="Normal"/>
    <w:link w:val="Naslov9Char"/>
    <w:uiPriority w:val="9"/>
    <w:semiHidden/>
    <w:unhideWhenUsed/>
    <w:qFormat/>
    <w:rsid w:val="00EE20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40CD9"/>
    <w:pPr>
      <w:ind w:left="720"/>
      <w:contextualSpacing/>
    </w:pPr>
  </w:style>
  <w:style w:type="table" w:styleId="Reetkatablice">
    <w:name w:val="Table Grid"/>
    <w:basedOn w:val="Obinatablica"/>
    <w:uiPriority w:val="39"/>
    <w:rsid w:val="00B55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atablicareetke-isticanje1">
    <w:name w:val="Grid Table 1 Light Accent 1"/>
    <w:basedOn w:val="Obinatablica"/>
    <w:uiPriority w:val="46"/>
    <w:rsid w:val="00D06D2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Svijetlatablicareetke1-isticanje5">
    <w:name w:val="Grid Table 1 Light Accent 5"/>
    <w:basedOn w:val="Obinatablica"/>
    <w:uiPriority w:val="46"/>
    <w:rsid w:val="00D06D29"/>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aslov1Char">
    <w:name w:val="Naslov 1 Char"/>
    <w:basedOn w:val="Zadanifontodlomka"/>
    <w:link w:val="Naslov1"/>
    <w:uiPriority w:val="9"/>
    <w:rsid w:val="00EE205F"/>
    <w:rPr>
      <w:rFonts w:asciiTheme="majorHAnsi" w:eastAsiaTheme="majorEastAsia" w:hAnsiTheme="majorHAnsi" w:cstheme="majorBidi"/>
      <w:b/>
      <w:bCs/>
      <w:color w:val="2F5496" w:themeColor="accent1" w:themeShade="BF"/>
      <w:sz w:val="28"/>
      <w:szCs w:val="28"/>
    </w:rPr>
  </w:style>
  <w:style w:type="character" w:customStyle="1" w:styleId="Naslov2Char">
    <w:name w:val="Naslov 2 Char"/>
    <w:basedOn w:val="Zadanifontodlomka"/>
    <w:link w:val="Naslov2"/>
    <w:uiPriority w:val="9"/>
    <w:semiHidden/>
    <w:rsid w:val="00EE205F"/>
    <w:rPr>
      <w:rFonts w:asciiTheme="majorHAnsi" w:eastAsiaTheme="majorEastAsia" w:hAnsiTheme="majorHAnsi" w:cstheme="majorBidi"/>
      <w:b/>
      <w:bCs/>
      <w:color w:val="4472C4" w:themeColor="accent1"/>
      <w:sz w:val="26"/>
      <w:szCs w:val="26"/>
    </w:rPr>
  </w:style>
  <w:style w:type="character" w:customStyle="1" w:styleId="Naslov3Char">
    <w:name w:val="Naslov 3 Char"/>
    <w:basedOn w:val="Zadanifontodlomka"/>
    <w:link w:val="Naslov3"/>
    <w:uiPriority w:val="9"/>
    <w:semiHidden/>
    <w:rsid w:val="00EE205F"/>
    <w:rPr>
      <w:rFonts w:asciiTheme="majorHAnsi" w:eastAsiaTheme="majorEastAsia" w:hAnsiTheme="majorHAnsi" w:cstheme="majorBidi"/>
      <w:b/>
      <w:bCs/>
      <w:color w:val="4472C4" w:themeColor="accent1"/>
    </w:rPr>
  </w:style>
  <w:style w:type="character" w:customStyle="1" w:styleId="Naslov4Char">
    <w:name w:val="Naslov 4 Char"/>
    <w:basedOn w:val="Zadanifontodlomka"/>
    <w:link w:val="Naslov4"/>
    <w:uiPriority w:val="9"/>
    <w:semiHidden/>
    <w:rsid w:val="00EE205F"/>
    <w:rPr>
      <w:rFonts w:asciiTheme="majorHAnsi" w:eastAsiaTheme="majorEastAsia" w:hAnsiTheme="majorHAnsi" w:cstheme="majorBidi"/>
      <w:b/>
      <w:bCs/>
      <w:i/>
      <w:iCs/>
      <w:color w:val="4472C4" w:themeColor="accent1"/>
    </w:rPr>
  </w:style>
  <w:style w:type="character" w:customStyle="1" w:styleId="Naslov5Char">
    <w:name w:val="Naslov 5 Char"/>
    <w:basedOn w:val="Zadanifontodlomka"/>
    <w:link w:val="Naslov5"/>
    <w:uiPriority w:val="9"/>
    <w:semiHidden/>
    <w:rsid w:val="00EE205F"/>
    <w:rPr>
      <w:rFonts w:asciiTheme="majorHAnsi" w:eastAsiaTheme="majorEastAsia" w:hAnsiTheme="majorHAnsi" w:cstheme="majorBidi"/>
      <w:color w:val="1F3763" w:themeColor="accent1" w:themeShade="7F"/>
    </w:rPr>
  </w:style>
  <w:style w:type="character" w:customStyle="1" w:styleId="Naslov6Char">
    <w:name w:val="Naslov 6 Char"/>
    <w:basedOn w:val="Zadanifontodlomka"/>
    <w:link w:val="Naslov6"/>
    <w:uiPriority w:val="9"/>
    <w:semiHidden/>
    <w:rsid w:val="00EE205F"/>
    <w:rPr>
      <w:rFonts w:asciiTheme="majorHAnsi" w:eastAsiaTheme="majorEastAsia" w:hAnsiTheme="majorHAnsi" w:cstheme="majorBidi"/>
      <w:i/>
      <w:iCs/>
      <w:color w:val="1F3763" w:themeColor="accent1" w:themeShade="7F"/>
    </w:rPr>
  </w:style>
  <w:style w:type="character" w:customStyle="1" w:styleId="Naslov7Char">
    <w:name w:val="Naslov 7 Char"/>
    <w:basedOn w:val="Zadanifontodlomka"/>
    <w:link w:val="Naslov7"/>
    <w:uiPriority w:val="9"/>
    <w:semiHidden/>
    <w:rsid w:val="00EE205F"/>
    <w:rPr>
      <w:rFonts w:asciiTheme="majorHAnsi" w:eastAsiaTheme="majorEastAsia" w:hAnsiTheme="majorHAnsi" w:cstheme="majorBidi"/>
      <w:i/>
      <w:iCs/>
      <w:color w:val="404040" w:themeColor="text1" w:themeTint="BF"/>
    </w:rPr>
  </w:style>
  <w:style w:type="character" w:customStyle="1" w:styleId="Naslov8Char">
    <w:name w:val="Naslov 8 Char"/>
    <w:basedOn w:val="Zadanifontodlomka"/>
    <w:link w:val="Naslov8"/>
    <w:uiPriority w:val="9"/>
    <w:semiHidden/>
    <w:rsid w:val="00EE205F"/>
    <w:rPr>
      <w:rFonts w:asciiTheme="majorHAnsi" w:eastAsiaTheme="majorEastAsia" w:hAnsiTheme="majorHAnsi" w:cstheme="majorBidi"/>
      <w:color w:val="4472C4" w:themeColor="accent1"/>
      <w:sz w:val="20"/>
      <w:szCs w:val="20"/>
    </w:rPr>
  </w:style>
  <w:style w:type="character" w:customStyle="1" w:styleId="Naslov9Char">
    <w:name w:val="Naslov 9 Char"/>
    <w:basedOn w:val="Zadanifontodlomka"/>
    <w:link w:val="Naslov9"/>
    <w:uiPriority w:val="9"/>
    <w:semiHidden/>
    <w:rsid w:val="00EE205F"/>
    <w:rPr>
      <w:rFonts w:asciiTheme="majorHAnsi" w:eastAsiaTheme="majorEastAsia" w:hAnsiTheme="majorHAnsi" w:cstheme="majorBidi"/>
      <w:i/>
      <w:iCs/>
      <w:color w:val="404040" w:themeColor="text1" w:themeTint="BF"/>
      <w:sz w:val="20"/>
      <w:szCs w:val="20"/>
    </w:rPr>
  </w:style>
  <w:style w:type="paragraph" w:styleId="Opisslike">
    <w:name w:val="caption"/>
    <w:basedOn w:val="Normal"/>
    <w:next w:val="Normal"/>
    <w:uiPriority w:val="35"/>
    <w:semiHidden/>
    <w:unhideWhenUsed/>
    <w:qFormat/>
    <w:rsid w:val="00EE205F"/>
    <w:pPr>
      <w:spacing w:line="240" w:lineRule="auto"/>
    </w:pPr>
    <w:rPr>
      <w:b/>
      <w:bCs/>
      <w:color w:val="4472C4" w:themeColor="accent1"/>
      <w:sz w:val="18"/>
      <w:szCs w:val="18"/>
    </w:rPr>
  </w:style>
  <w:style w:type="paragraph" w:styleId="Naslov">
    <w:name w:val="Title"/>
    <w:basedOn w:val="Normal"/>
    <w:next w:val="Normal"/>
    <w:link w:val="NaslovChar"/>
    <w:uiPriority w:val="10"/>
    <w:qFormat/>
    <w:rsid w:val="00EE205F"/>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NaslovChar">
    <w:name w:val="Naslov Char"/>
    <w:basedOn w:val="Zadanifontodlomka"/>
    <w:link w:val="Naslov"/>
    <w:uiPriority w:val="10"/>
    <w:rsid w:val="00EE205F"/>
    <w:rPr>
      <w:rFonts w:asciiTheme="majorHAnsi" w:eastAsiaTheme="majorEastAsia" w:hAnsiTheme="majorHAnsi" w:cstheme="majorBidi"/>
      <w:color w:val="323E4F" w:themeColor="text2" w:themeShade="BF"/>
      <w:spacing w:val="5"/>
      <w:sz w:val="52"/>
      <w:szCs w:val="52"/>
    </w:rPr>
  </w:style>
  <w:style w:type="paragraph" w:styleId="Podnaslov">
    <w:name w:val="Subtitle"/>
    <w:basedOn w:val="Normal"/>
    <w:next w:val="Normal"/>
    <w:link w:val="PodnaslovChar"/>
    <w:uiPriority w:val="11"/>
    <w:qFormat/>
    <w:rsid w:val="00EE205F"/>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naslovChar">
    <w:name w:val="Podnaslov Char"/>
    <w:basedOn w:val="Zadanifontodlomka"/>
    <w:link w:val="Podnaslov"/>
    <w:uiPriority w:val="11"/>
    <w:rsid w:val="00EE205F"/>
    <w:rPr>
      <w:rFonts w:asciiTheme="majorHAnsi" w:eastAsiaTheme="majorEastAsia" w:hAnsiTheme="majorHAnsi" w:cstheme="majorBidi"/>
      <w:i/>
      <w:iCs/>
      <w:color w:val="4472C4" w:themeColor="accent1"/>
      <w:spacing w:val="15"/>
      <w:sz w:val="24"/>
      <w:szCs w:val="24"/>
    </w:rPr>
  </w:style>
  <w:style w:type="character" w:styleId="Naglaeno">
    <w:name w:val="Strong"/>
    <w:basedOn w:val="Zadanifontodlomka"/>
    <w:uiPriority w:val="22"/>
    <w:qFormat/>
    <w:rsid w:val="00EE205F"/>
    <w:rPr>
      <w:b/>
      <w:bCs/>
    </w:rPr>
  </w:style>
  <w:style w:type="character" w:styleId="Istaknuto">
    <w:name w:val="Emphasis"/>
    <w:basedOn w:val="Zadanifontodlomka"/>
    <w:uiPriority w:val="20"/>
    <w:qFormat/>
    <w:rsid w:val="00EE205F"/>
    <w:rPr>
      <w:i/>
      <w:iCs/>
    </w:rPr>
  </w:style>
  <w:style w:type="paragraph" w:styleId="Bezproreda">
    <w:name w:val="No Spacing"/>
    <w:uiPriority w:val="1"/>
    <w:qFormat/>
    <w:rsid w:val="00EE205F"/>
    <w:pPr>
      <w:spacing w:after="0" w:line="240" w:lineRule="auto"/>
    </w:pPr>
  </w:style>
  <w:style w:type="paragraph" w:styleId="Citat">
    <w:name w:val="Quote"/>
    <w:basedOn w:val="Normal"/>
    <w:next w:val="Normal"/>
    <w:link w:val="CitatChar"/>
    <w:uiPriority w:val="29"/>
    <w:qFormat/>
    <w:rsid w:val="00EE205F"/>
    <w:rPr>
      <w:i/>
      <w:iCs/>
      <w:color w:val="000000" w:themeColor="text1"/>
    </w:rPr>
  </w:style>
  <w:style w:type="character" w:customStyle="1" w:styleId="CitatChar">
    <w:name w:val="Citat Char"/>
    <w:basedOn w:val="Zadanifontodlomka"/>
    <w:link w:val="Citat"/>
    <w:uiPriority w:val="29"/>
    <w:rsid w:val="00EE205F"/>
    <w:rPr>
      <w:i/>
      <w:iCs/>
      <w:color w:val="000000" w:themeColor="text1"/>
    </w:rPr>
  </w:style>
  <w:style w:type="paragraph" w:styleId="Naglaencitat">
    <w:name w:val="Intense Quote"/>
    <w:basedOn w:val="Normal"/>
    <w:next w:val="Normal"/>
    <w:link w:val="NaglaencitatChar"/>
    <w:uiPriority w:val="30"/>
    <w:qFormat/>
    <w:rsid w:val="00EE205F"/>
    <w:pPr>
      <w:pBdr>
        <w:bottom w:val="single" w:sz="4" w:space="4" w:color="4472C4" w:themeColor="accent1"/>
      </w:pBdr>
      <w:spacing w:before="200" w:after="280"/>
      <w:ind w:left="936" w:right="936"/>
    </w:pPr>
    <w:rPr>
      <w:b/>
      <w:bCs/>
      <w:i/>
      <w:iCs/>
      <w:color w:val="4472C4" w:themeColor="accent1"/>
    </w:rPr>
  </w:style>
  <w:style w:type="character" w:customStyle="1" w:styleId="NaglaencitatChar">
    <w:name w:val="Naglašen citat Char"/>
    <w:basedOn w:val="Zadanifontodlomka"/>
    <w:link w:val="Naglaencitat"/>
    <w:uiPriority w:val="30"/>
    <w:rsid w:val="00EE205F"/>
    <w:rPr>
      <w:b/>
      <w:bCs/>
      <w:i/>
      <w:iCs/>
      <w:color w:val="4472C4" w:themeColor="accent1"/>
    </w:rPr>
  </w:style>
  <w:style w:type="character" w:styleId="Neupadljivoisticanje">
    <w:name w:val="Subtle Emphasis"/>
    <w:basedOn w:val="Zadanifontodlomka"/>
    <w:uiPriority w:val="19"/>
    <w:qFormat/>
    <w:rsid w:val="00EE205F"/>
    <w:rPr>
      <w:i/>
      <w:iCs/>
      <w:color w:val="808080" w:themeColor="text1" w:themeTint="7F"/>
    </w:rPr>
  </w:style>
  <w:style w:type="character" w:styleId="Jakoisticanje">
    <w:name w:val="Intense Emphasis"/>
    <w:basedOn w:val="Zadanifontodlomka"/>
    <w:uiPriority w:val="21"/>
    <w:qFormat/>
    <w:rsid w:val="00EE205F"/>
    <w:rPr>
      <w:b/>
      <w:bCs/>
      <w:i/>
      <w:iCs/>
      <w:color w:val="4472C4" w:themeColor="accent1"/>
    </w:rPr>
  </w:style>
  <w:style w:type="character" w:styleId="Neupadljivareferenca">
    <w:name w:val="Subtle Reference"/>
    <w:basedOn w:val="Zadanifontodlomka"/>
    <w:uiPriority w:val="31"/>
    <w:qFormat/>
    <w:rsid w:val="00EE205F"/>
    <w:rPr>
      <w:smallCaps/>
      <w:color w:val="ED7D31" w:themeColor="accent2"/>
      <w:u w:val="single"/>
    </w:rPr>
  </w:style>
  <w:style w:type="character" w:styleId="Istaknutareferenca">
    <w:name w:val="Intense Reference"/>
    <w:basedOn w:val="Zadanifontodlomka"/>
    <w:uiPriority w:val="32"/>
    <w:qFormat/>
    <w:rsid w:val="00EE205F"/>
    <w:rPr>
      <w:b/>
      <w:bCs/>
      <w:smallCaps/>
      <w:color w:val="ED7D31" w:themeColor="accent2"/>
      <w:spacing w:val="5"/>
      <w:u w:val="single"/>
    </w:rPr>
  </w:style>
  <w:style w:type="character" w:styleId="Naslovknjige">
    <w:name w:val="Book Title"/>
    <w:basedOn w:val="Zadanifontodlomka"/>
    <w:uiPriority w:val="33"/>
    <w:qFormat/>
    <w:rsid w:val="00EE205F"/>
    <w:rPr>
      <w:b/>
      <w:bCs/>
      <w:smallCaps/>
      <w:spacing w:val="5"/>
    </w:rPr>
  </w:style>
  <w:style w:type="paragraph" w:styleId="TOCNaslov">
    <w:name w:val="TOC Heading"/>
    <w:basedOn w:val="Naslov1"/>
    <w:next w:val="Normal"/>
    <w:uiPriority w:val="39"/>
    <w:semiHidden/>
    <w:unhideWhenUsed/>
    <w:qFormat/>
    <w:rsid w:val="00EE205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5230</Words>
  <Characters>29811</Characters>
  <Application>Microsoft Office Word</Application>
  <DocSecurity>0</DocSecurity>
  <Lines>248</Lines>
  <Paragraphs>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Kiš</dc:creator>
  <cp:keywords/>
  <dc:description/>
  <cp:lastModifiedBy>Jelena Kiš</cp:lastModifiedBy>
  <cp:revision>3</cp:revision>
  <dcterms:created xsi:type="dcterms:W3CDTF">2022-01-31T13:24:00Z</dcterms:created>
  <dcterms:modified xsi:type="dcterms:W3CDTF">2022-01-31T13:46:00Z</dcterms:modified>
</cp:coreProperties>
</file>